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A393" w14:textId="77777777" w:rsidR="0055232A" w:rsidRPr="00264023" w:rsidRDefault="0055232A" w:rsidP="000B3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askerville SemiBold Italic"/>
          <w:smallCaps/>
          <w:spacing w:val="4"/>
          <w:kern w:val="48"/>
          <w:sz w:val="44"/>
          <w:szCs w:val="44"/>
          <w:lang w:val="en-US"/>
        </w:rPr>
      </w:pPr>
    </w:p>
    <w:p w14:paraId="55C4D48E" w14:textId="600FD3A3" w:rsidR="00F9718B" w:rsidRPr="00264023" w:rsidRDefault="00123AE8" w:rsidP="001E61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askerville SemiBold Italic"/>
          <w:smallCaps/>
          <w:spacing w:val="4"/>
          <w:kern w:val="48"/>
          <w:sz w:val="52"/>
          <w:szCs w:val="52"/>
          <w:lang w:val="en-US"/>
        </w:rPr>
      </w:pPr>
      <w:r w:rsidRPr="00264023">
        <w:rPr>
          <w:rFonts w:asciiTheme="majorHAnsi" w:hAnsiTheme="majorHAnsi" w:cs="Baskerville SemiBold Italic"/>
          <w:smallCaps/>
          <w:spacing w:val="4"/>
          <w:kern w:val="48"/>
          <w:sz w:val="52"/>
          <w:szCs w:val="52"/>
          <w:lang w:val="en-US"/>
        </w:rPr>
        <w:t xml:space="preserve">Management of Patients with </w:t>
      </w:r>
      <w:r w:rsidR="00C40E0B" w:rsidRPr="00264023">
        <w:rPr>
          <w:rFonts w:asciiTheme="majorHAnsi" w:hAnsiTheme="majorHAnsi" w:cs="Baskerville SemiBold Italic"/>
          <w:smallCaps/>
          <w:spacing w:val="4"/>
          <w:kern w:val="48"/>
          <w:sz w:val="52"/>
          <w:szCs w:val="52"/>
          <w:lang w:val="en-US"/>
        </w:rPr>
        <w:t xml:space="preserve">Spontaneous Bacterial Peritonitis: A </w:t>
      </w:r>
      <w:r w:rsidR="000731C0">
        <w:rPr>
          <w:rFonts w:asciiTheme="majorHAnsi" w:hAnsiTheme="majorHAnsi" w:cs="Baskerville SemiBold Italic"/>
          <w:smallCaps/>
          <w:spacing w:val="4"/>
          <w:kern w:val="48"/>
          <w:sz w:val="52"/>
          <w:szCs w:val="52"/>
          <w:lang w:val="en-US"/>
        </w:rPr>
        <w:t>West Midlands Regional</w:t>
      </w:r>
      <w:r w:rsidR="00C40E0B" w:rsidRPr="00264023">
        <w:rPr>
          <w:rFonts w:asciiTheme="majorHAnsi" w:hAnsiTheme="majorHAnsi" w:cs="Baskerville SemiBold Italic"/>
          <w:smallCaps/>
          <w:spacing w:val="4"/>
          <w:kern w:val="48"/>
          <w:sz w:val="52"/>
          <w:szCs w:val="52"/>
          <w:lang w:val="en-US"/>
        </w:rPr>
        <w:t xml:space="preserve"> Audit</w:t>
      </w:r>
    </w:p>
    <w:p w14:paraId="7B1B3D40" w14:textId="77777777" w:rsidR="005648BE" w:rsidRPr="00264023" w:rsidRDefault="005648BE" w:rsidP="00C71428">
      <w:pPr>
        <w:rPr>
          <w:smallCaps/>
          <w:sz w:val="18"/>
          <w:szCs w:val="18"/>
        </w:rPr>
      </w:pPr>
    </w:p>
    <w:p w14:paraId="6D10556F" w14:textId="77777777" w:rsidR="00C00B60" w:rsidRPr="00264023" w:rsidRDefault="00C00B60" w:rsidP="000731C0">
      <w:pPr>
        <w:jc w:val="center"/>
        <w:rPr>
          <w:smallCaps/>
          <w:sz w:val="28"/>
          <w:szCs w:val="28"/>
        </w:rPr>
      </w:pPr>
    </w:p>
    <w:p w14:paraId="7F0FA37E" w14:textId="77777777" w:rsidR="00C71428" w:rsidRPr="00264023" w:rsidRDefault="00C71428" w:rsidP="00C71428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 w:rsidRPr="00264023">
        <w:rPr>
          <w:b/>
          <w:smallCaps/>
          <w:sz w:val="28"/>
          <w:szCs w:val="28"/>
        </w:rPr>
        <w:t>Background</w:t>
      </w:r>
    </w:p>
    <w:p w14:paraId="4960B06D" w14:textId="72F37B3B" w:rsidR="00264023" w:rsidRPr="00913151" w:rsidRDefault="0059081C" w:rsidP="00AF2346">
      <w:pPr>
        <w:spacing w:before="30" w:after="225" w:line="360" w:lineRule="auto"/>
        <w:jc w:val="both"/>
        <w:rPr>
          <w:rFonts w:asciiTheme="majorHAnsi" w:hAnsiTheme="majorHAnsi" w:cs="Arial"/>
          <w:sz w:val="20"/>
          <w:szCs w:val="20"/>
          <w:lang w:val="en"/>
        </w:rPr>
      </w:pPr>
      <w:r w:rsidRPr="00913151">
        <w:rPr>
          <w:rFonts w:asciiTheme="majorHAnsi" w:hAnsiTheme="majorHAnsi" w:cs="Arial"/>
          <w:sz w:val="20"/>
          <w:szCs w:val="20"/>
          <w:lang w:val="en"/>
        </w:rPr>
        <w:t>Decompensation of cirrhosis and acute on chronic liver failure are common causes for hospital admission and are associated with a high mortality rate.</w:t>
      </w:r>
      <w:r w:rsidR="002C2D6E" w:rsidRPr="00913151">
        <w:rPr>
          <w:rStyle w:val="EndnoteReference"/>
          <w:rFonts w:asciiTheme="majorHAnsi" w:hAnsiTheme="majorHAnsi" w:cs="Arial"/>
          <w:sz w:val="20"/>
          <w:szCs w:val="20"/>
          <w:lang w:val="en"/>
        </w:rPr>
        <w:endnoteReference w:id="1"/>
      </w:r>
      <w:r w:rsidR="002C2D6E" w:rsidRPr="00913151">
        <w:rPr>
          <w:rFonts w:asciiTheme="majorHAnsi" w:hAnsiTheme="majorHAnsi" w:cs="Arial"/>
          <w:sz w:val="20"/>
          <w:szCs w:val="20"/>
          <w:lang w:val="en"/>
        </w:rPr>
        <w:t xml:space="preserve"> </w:t>
      </w:r>
      <w:r w:rsidRPr="00913151">
        <w:rPr>
          <w:rFonts w:asciiTheme="majorHAnsi" w:hAnsiTheme="majorHAnsi" w:cs="Arial"/>
          <w:sz w:val="20"/>
          <w:szCs w:val="20"/>
          <w:lang w:val="en"/>
        </w:rPr>
        <w:t xml:space="preserve"> </w:t>
      </w:r>
      <w:r w:rsidR="00C40E0B" w:rsidRPr="00913151">
        <w:rPr>
          <w:rFonts w:asciiTheme="majorHAnsi" w:hAnsiTheme="majorHAnsi" w:cs="Arial"/>
          <w:sz w:val="20"/>
          <w:szCs w:val="20"/>
          <w:lang w:val="en"/>
        </w:rPr>
        <w:t xml:space="preserve">Spontaneous bacterial peritonitis (SBP) is a common bacterial infection in patients with cirrhosis and ascites, with a prevalence of approximately </w:t>
      </w:r>
      <w:r w:rsidR="002C2D6E" w:rsidRPr="00913151">
        <w:rPr>
          <w:rFonts w:asciiTheme="majorHAnsi" w:hAnsiTheme="majorHAnsi" w:cs="Arial"/>
          <w:sz w:val="20"/>
          <w:szCs w:val="20"/>
          <w:lang w:val="en"/>
        </w:rPr>
        <w:t>3.5% of asymptomatic outpatients,</w:t>
      </w:r>
      <w:r w:rsidR="002C2D6E" w:rsidRPr="00913151">
        <w:rPr>
          <w:rStyle w:val="EndnoteReference"/>
          <w:rFonts w:asciiTheme="majorHAnsi" w:hAnsiTheme="majorHAnsi" w:cs="Arial"/>
          <w:sz w:val="20"/>
          <w:szCs w:val="20"/>
          <w:lang w:val="en"/>
        </w:rPr>
        <w:endnoteReference w:id="2"/>
      </w:r>
      <w:r w:rsidR="002C2D6E" w:rsidRPr="00913151">
        <w:rPr>
          <w:rFonts w:asciiTheme="majorHAnsi" w:hAnsiTheme="majorHAnsi" w:cs="Arial"/>
          <w:sz w:val="20"/>
          <w:szCs w:val="20"/>
          <w:lang w:val="en"/>
        </w:rPr>
        <w:t xml:space="preserve"> and between </w:t>
      </w:r>
      <w:r w:rsidR="00C40E0B" w:rsidRPr="00913151">
        <w:rPr>
          <w:rFonts w:asciiTheme="majorHAnsi" w:hAnsiTheme="majorHAnsi" w:cs="Arial"/>
          <w:sz w:val="20"/>
          <w:szCs w:val="20"/>
          <w:lang w:val="en"/>
        </w:rPr>
        <w:t>10%</w:t>
      </w:r>
      <w:r w:rsidRPr="00913151">
        <w:rPr>
          <w:rFonts w:asciiTheme="majorHAnsi" w:hAnsiTheme="majorHAnsi" w:cs="Arial"/>
          <w:sz w:val="20"/>
          <w:szCs w:val="20"/>
          <w:lang w:val="en"/>
        </w:rPr>
        <w:t>-30%</w:t>
      </w:r>
      <w:r w:rsidR="00C40E0B" w:rsidRPr="00913151">
        <w:rPr>
          <w:rFonts w:asciiTheme="majorHAnsi" w:hAnsiTheme="majorHAnsi" w:cs="Arial"/>
          <w:sz w:val="20"/>
          <w:szCs w:val="20"/>
          <w:lang w:val="en"/>
        </w:rPr>
        <w:t xml:space="preserve"> in hospitalized patients</w:t>
      </w:r>
      <w:r w:rsidR="002C2D6E" w:rsidRPr="00913151">
        <w:rPr>
          <w:rFonts w:asciiTheme="majorHAnsi" w:hAnsiTheme="majorHAnsi" w:cs="Arial"/>
          <w:sz w:val="20"/>
          <w:szCs w:val="20"/>
          <w:lang w:val="en"/>
        </w:rPr>
        <w:t>.</w:t>
      </w:r>
      <w:r w:rsidRPr="00913151">
        <w:rPr>
          <w:rStyle w:val="EndnoteReference"/>
          <w:rFonts w:asciiTheme="majorHAnsi" w:hAnsiTheme="majorHAnsi" w:cs="Arial"/>
          <w:sz w:val="20"/>
          <w:szCs w:val="20"/>
          <w:lang w:val="en"/>
        </w:rPr>
        <w:endnoteReference w:id="3"/>
      </w:r>
      <w:r w:rsidR="00C40E0B" w:rsidRPr="00913151">
        <w:rPr>
          <w:rFonts w:asciiTheme="majorHAnsi" w:hAnsiTheme="majorHAnsi" w:cs="Arial"/>
          <w:sz w:val="20"/>
          <w:szCs w:val="20"/>
          <w:lang w:val="en"/>
        </w:rPr>
        <w:t xml:space="preserve"> </w:t>
      </w:r>
      <w:r w:rsidR="002C2D6E" w:rsidRPr="00913151">
        <w:rPr>
          <w:rFonts w:asciiTheme="majorHAnsi" w:hAnsiTheme="majorHAnsi" w:cs="Arial"/>
          <w:sz w:val="20"/>
          <w:szCs w:val="20"/>
          <w:lang w:val="en"/>
        </w:rPr>
        <w:t xml:space="preserve"> Half of SBP episodes are present at the time of admission, with the rest acquired during admission.</w:t>
      </w:r>
      <w:r w:rsidR="002C2D6E" w:rsidRPr="00913151">
        <w:rPr>
          <w:rFonts w:asciiTheme="majorHAnsi" w:hAnsiTheme="majorHAnsi" w:cs="Arial"/>
          <w:sz w:val="20"/>
          <w:szCs w:val="20"/>
          <w:vertAlign w:val="superscript"/>
          <w:lang w:val="en"/>
        </w:rPr>
        <w:t>3</w:t>
      </w:r>
      <w:r w:rsidR="002C2D6E" w:rsidRPr="00913151">
        <w:rPr>
          <w:rFonts w:asciiTheme="majorHAnsi" w:hAnsiTheme="majorHAnsi" w:cs="Arial"/>
          <w:sz w:val="20"/>
          <w:szCs w:val="20"/>
          <w:lang w:val="en"/>
        </w:rPr>
        <w:t xml:space="preserve">  </w:t>
      </w:r>
      <w:r w:rsidR="00866C47" w:rsidRPr="00913151">
        <w:rPr>
          <w:rFonts w:asciiTheme="majorHAnsi" w:hAnsiTheme="majorHAnsi" w:cs="Arial"/>
          <w:sz w:val="20"/>
          <w:szCs w:val="20"/>
          <w:lang w:val="en"/>
        </w:rPr>
        <w:t>Approximately 70% of cases occur in patients with Child C cirrhosis.</w:t>
      </w:r>
      <w:r w:rsidR="00866C47" w:rsidRPr="00913151">
        <w:rPr>
          <w:rFonts w:asciiTheme="majorHAnsi" w:hAnsiTheme="majorHAnsi" w:cs="Arial"/>
          <w:sz w:val="20"/>
          <w:szCs w:val="20"/>
          <w:vertAlign w:val="superscript"/>
          <w:lang w:val="en"/>
        </w:rPr>
        <w:t>3</w:t>
      </w:r>
      <w:r w:rsidR="00866C47" w:rsidRPr="00913151">
        <w:rPr>
          <w:rFonts w:asciiTheme="majorHAnsi" w:hAnsiTheme="majorHAnsi" w:cs="Arial"/>
          <w:sz w:val="20"/>
          <w:szCs w:val="20"/>
          <w:lang w:val="en"/>
        </w:rPr>
        <w:t xml:space="preserve">  </w:t>
      </w:r>
      <w:r w:rsidR="00DB5455">
        <w:rPr>
          <w:rFonts w:asciiTheme="majorHAnsi" w:hAnsiTheme="majorHAnsi" w:cs="Arial"/>
          <w:sz w:val="20"/>
          <w:szCs w:val="20"/>
          <w:lang w:val="en"/>
        </w:rPr>
        <w:t xml:space="preserve">30% of patients with SBP develop complications of </w:t>
      </w:r>
      <w:proofErr w:type="spellStart"/>
      <w:r w:rsidR="00DB5455">
        <w:rPr>
          <w:rFonts w:asciiTheme="majorHAnsi" w:hAnsiTheme="majorHAnsi" w:cs="Arial"/>
          <w:sz w:val="20"/>
          <w:szCs w:val="20"/>
          <w:lang w:val="en"/>
        </w:rPr>
        <w:t>hepatorenal</w:t>
      </w:r>
      <w:proofErr w:type="spellEnd"/>
      <w:r w:rsidR="00DB5455">
        <w:rPr>
          <w:rFonts w:asciiTheme="majorHAnsi" w:hAnsiTheme="majorHAnsi" w:cs="Arial"/>
          <w:sz w:val="20"/>
          <w:szCs w:val="20"/>
          <w:lang w:val="en"/>
        </w:rPr>
        <w:t xml:space="preserve"> syndrome</w:t>
      </w:r>
      <w:r w:rsidR="00783F2F">
        <w:rPr>
          <w:rFonts w:asciiTheme="majorHAnsi" w:hAnsiTheme="majorHAnsi" w:cs="Arial"/>
          <w:sz w:val="20"/>
          <w:szCs w:val="20"/>
          <w:lang w:val="en"/>
        </w:rPr>
        <w:t>, which is associated with high mortality.</w:t>
      </w:r>
      <w:r w:rsidR="00783F2F" w:rsidRPr="00913151">
        <w:rPr>
          <w:rFonts w:asciiTheme="majorHAnsi" w:hAnsiTheme="majorHAnsi" w:cs="Arial"/>
          <w:sz w:val="20"/>
          <w:szCs w:val="20"/>
          <w:vertAlign w:val="superscript"/>
          <w:lang w:val="en"/>
        </w:rPr>
        <w:t>3</w:t>
      </w:r>
      <w:r w:rsidR="00DB5455">
        <w:rPr>
          <w:rFonts w:asciiTheme="majorHAnsi" w:hAnsiTheme="majorHAnsi" w:cs="Arial"/>
          <w:sz w:val="20"/>
          <w:szCs w:val="20"/>
          <w:lang w:val="en"/>
        </w:rPr>
        <w:t xml:space="preserve">  Mortality following SBP</w:t>
      </w:r>
      <w:r w:rsidR="002C2D6E" w:rsidRPr="00913151">
        <w:rPr>
          <w:rFonts w:asciiTheme="majorHAnsi" w:hAnsiTheme="majorHAnsi" w:cs="Arial"/>
          <w:sz w:val="20"/>
          <w:szCs w:val="20"/>
          <w:lang w:val="en"/>
        </w:rPr>
        <w:t xml:space="preserve"> is high, with an</w:t>
      </w:r>
      <w:r w:rsidR="00A323F7" w:rsidRPr="00913151">
        <w:rPr>
          <w:rFonts w:asciiTheme="majorHAnsi" w:hAnsiTheme="majorHAnsi" w:cs="Arial"/>
          <w:sz w:val="20"/>
          <w:szCs w:val="20"/>
          <w:lang w:val="en"/>
        </w:rPr>
        <w:t xml:space="preserve"> estimated 30-day mortality risk of 24%</w:t>
      </w:r>
      <w:r w:rsidR="00264023" w:rsidRPr="00913151">
        <w:rPr>
          <w:rFonts w:asciiTheme="majorHAnsi" w:hAnsiTheme="majorHAnsi" w:cs="Arial"/>
          <w:sz w:val="20"/>
          <w:szCs w:val="20"/>
          <w:lang w:val="en"/>
        </w:rPr>
        <w:t>,</w:t>
      </w:r>
      <w:r w:rsidR="00A323F7" w:rsidRPr="00913151">
        <w:rPr>
          <w:rStyle w:val="EndnoteReference"/>
          <w:rFonts w:asciiTheme="majorHAnsi" w:hAnsiTheme="majorHAnsi" w:cs="Arial"/>
          <w:sz w:val="20"/>
          <w:szCs w:val="20"/>
          <w:lang w:val="en"/>
        </w:rPr>
        <w:endnoteReference w:id="4"/>
      </w:r>
      <w:r w:rsidR="00C40E0B" w:rsidRPr="00913151">
        <w:rPr>
          <w:rFonts w:asciiTheme="majorHAnsi" w:hAnsiTheme="majorHAnsi" w:cs="Arial"/>
          <w:sz w:val="20"/>
          <w:szCs w:val="20"/>
          <w:lang w:val="en"/>
        </w:rPr>
        <w:t xml:space="preserve"> </w:t>
      </w:r>
      <w:r w:rsidR="00264023" w:rsidRPr="00913151">
        <w:rPr>
          <w:rFonts w:asciiTheme="majorHAnsi" w:hAnsiTheme="majorHAnsi" w:cs="Arial"/>
          <w:sz w:val="20"/>
          <w:szCs w:val="20"/>
          <w:lang w:val="en"/>
        </w:rPr>
        <w:t>and 1-year mortality of 31-93%.</w:t>
      </w:r>
      <w:r w:rsidR="00264023" w:rsidRPr="00913151">
        <w:rPr>
          <w:rStyle w:val="EndnoteReference"/>
          <w:rFonts w:asciiTheme="majorHAnsi" w:hAnsiTheme="majorHAnsi" w:cs="Arial"/>
          <w:sz w:val="20"/>
          <w:szCs w:val="20"/>
          <w:lang w:val="en"/>
        </w:rPr>
        <w:endnoteReference w:id="5"/>
      </w:r>
      <w:r w:rsidR="00264023" w:rsidRPr="00913151">
        <w:rPr>
          <w:rFonts w:asciiTheme="majorHAnsi" w:hAnsiTheme="majorHAnsi" w:cs="Arial"/>
          <w:sz w:val="20"/>
          <w:szCs w:val="20"/>
          <w:lang w:val="en"/>
        </w:rPr>
        <w:t xml:space="preserve">  Prompt recognition and treatment</w:t>
      </w:r>
      <w:r w:rsidR="00DB5455">
        <w:rPr>
          <w:rFonts w:asciiTheme="majorHAnsi" w:hAnsiTheme="majorHAnsi" w:cs="Arial"/>
          <w:sz w:val="20"/>
          <w:szCs w:val="20"/>
          <w:lang w:val="en"/>
        </w:rPr>
        <w:t xml:space="preserve"> of SBP and its associated complications</w:t>
      </w:r>
      <w:r w:rsidR="00264023" w:rsidRPr="00913151">
        <w:rPr>
          <w:rFonts w:asciiTheme="majorHAnsi" w:hAnsiTheme="majorHAnsi" w:cs="Arial"/>
          <w:sz w:val="20"/>
          <w:szCs w:val="20"/>
          <w:lang w:val="en"/>
        </w:rPr>
        <w:t xml:space="preserve"> </w:t>
      </w:r>
      <w:r w:rsidR="00DB5455">
        <w:rPr>
          <w:rFonts w:asciiTheme="majorHAnsi" w:hAnsiTheme="majorHAnsi" w:cs="Arial"/>
          <w:sz w:val="20"/>
          <w:szCs w:val="20"/>
          <w:lang w:val="en"/>
        </w:rPr>
        <w:t>are</w:t>
      </w:r>
      <w:r w:rsidR="00264023" w:rsidRPr="00913151">
        <w:rPr>
          <w:rFonts w:asciiTheme="majorHAnsi" w:hAnsiTheme="majorHAnsi" w:cs="Arial"/>
          <w:sz w:val="20"/>
          <w:szCs w:val="20"/>
          <w:lang w:val="en"/>
        </w:rPr>
        <w:t xml:space="preserve"> required to improve outcome.  </w:t>
      </w:r>
    </w:p>
    <w:p w14:paraId="4CC96D7C" w14:textId="071DF5CE" w:rsidR="00C40E0B" w:rsidRPr="00913151" w:rsidRDefault="00866C47" w:rsidP="00AF2346">
      <w:pPr>
        <w:spacing w:before="30" w:after="225" w:line="360" w:lineRule="auto"/>
        <w:jc w:val="both"/>
        <w:rPr>
          <w:rFonts w:asciiTheme="majorHAnsi" w:hAnsiTheme="majorHAnsi" w:cs="Arial"/>
          <w:sz w:val="20"/>
          <w:szCs w:val="20"/>
          <w:lang w:val="en"/>
        </w:rPr>
      </w:pPr>
      <w:r w:rsidRPr="00913151">
        <w:rPr>
          <w:rFonts w:asciiTheme="majorHAnsi" w:hAnsiTheme="majorHAnsi" w:cs="Arial"/>
          <w:sz w:val="20"/>
          <w:szCs w:val="20"/>
          <w:lang w:val="en"/>
        </w:rPr>
        <w:t>The</w:t>
      </w:r>
      <w:r w:rsidR="00CF27CB" w:rsidRPr="00913151">
        <w:rPr>
          <w:rFonts w:asciiTheme="majorHAnsi" w:hAnsiTheme="majorHAnsi" w:cs="Arial"/>
          <w:sz w:val="20"/>
          <w:szCs w:val="20"/>
          <w:lang w:val="en"/>
        </w:rPr>
        <w:t xml:space="preserve"> </w:t>
      </w:r>
      <w:r w:rsidRPr="00913151">
        <w:rPr>
          <w:rFonts w:asciiTheme="majorHAnsi" w:hAnsiTheme="majorHAnsi" w:cs="Arial"/>
          <w:color w:val="262626"/>
          <w:sz w:val="20"/>
          <w:szCs w:val="20"/>
          <w:lang w:val="en-US"/>
        </w:rPr>
        <w:t>European Association for the Study of the Liver</w:t>
      </w:r>
      <w:r w:rsidRPr="00913151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913151">
        <w:rPr>
          <w:rFonts w:asciiTheme="majorHAnsi" w:hAnsiTheme="majorHAnsi" w:cs="Arial"/>
          <w:sz w:val="20"/>
          <w:szCs w:val="20"/>
          <w:u w:color="262626"/>
          <w:lang w:val="en-US"/>
        </w:rPr>
        <w:t xml:space="preserve">(EASL) </w:t>
      </w:r>
      <w:r w:rsidRPr="00913151">
        <w:rPr>
          <w:rFonts w:asciiTheme="majorHAnsi" w:hAnsiTheme="majorHAnsi" w:cs="Arial"/>
          <w:sz w:val="20"/>
          <w:szCs w:val="20"/>
          <w:lang w:val="en"/>
        </w:rPr>
        <w:t>published recommendations for the diagnosis and management of SBP in 2010.</w:t>
      </w:r>
      <w:r w:rsidRPr="00913151">
        <w:rPr>
          <w:rStyle w:val="EndnoteReference"/>
          <w:rFonts w:asciiTheme="majorHAnsi" w:hAnsiTheme="majorHAnsi" w:cs="Arial"/>
          <w:sz w:val="20"/>
          <w:szCs w:val="20"/>
          <w:lang w:val="en"/>
        </w:rPr>
        <w:endnoteReference w:id="6"/>
      </w:r>
      <w:r w:rsidRPr="00913151">
        <w:rPr>
          <w:rFonts w:asciiTheme="majorHAnsi" w:hAnsiTheme="majorHAnsi" w:cs="Arial"/>
          <w:sz w:val="20"/>
          <w:szCs w:val="20"/>
          <w:lang w:val="en"/>
        </w:rPr>
        <w:t xml:space="preserve">  </w:t>
      </w:r>
      <w:r w:rsidR="00885B92" w:rsidRPr="00913151">
        <w:rPr>
          <w:rFonts w:asciiTheme="majorHAnsi" w:hAnsiTheme="majorHAnsi" w:cs="Arial"/>
          <w:sz w:val="20"/>
          <w:szCs w:val="20"/>
          <w:lang w:val="en"/>
        </w:rPr>
        <w:t>These have recently been incorporated into a</w:t>
      </w:r>
      <w:r w:rsidR="00676F71" w:rsidRPr="00913151">
        <w:rPr>
          <w:rFonts w:asciiTheme="majorHAnsi" w:hAnsiTheme="majorHAnsi" w:cs="Arial"/>
          <w:sz w:val="20"/>
          <w:szCs w:val="20"/>
          <w:lang w:val="en"/>
        </w:rPr>
        <w:t>n acute</w:t>
      </w:r>
      <w:r w:rsidR="00885B92" w:rsidRPr="00913151">
        <w:rPr>
          <w:rFonts w:asciiTheme="majorHAnsi" w:hAnsiTheme="majorHAnsi" w:cs="Arial"/>
          <w:sz w:val="20"/>
          <w:szCs w:val="20"/>
          <w:lang w:val="en"/>
        </w:rPr>
        <w:t xml:space="preserve"> care bundle</w:t>
      </w:r>
      <w:r w:rsidR="00676F71" w:rsidRPr="00913151">
        <w:rPr>
          <w:rFonts w:asciiTheme="majorHAnsi" w:hAnsiTheme="majorHAnsi" w:cs="Arial"/>
          <w:sz w:val="20"/>
          <w:szCs w:val="20"/>
          <w:lang w:val="en"/>
        </w:rPr>
        <w:t xml:space="preserve"> (first 24 hours) for</w:t>
      </w:r>
      <w:r w:rsidR="00885B92" w:rsidRPr="00913151">
        <w:rPr>
          <w:rFonts w:asciiTheme="majorHAnsi" w:hAnsiTheme="majorHAnsi" w:cs="Arial"/>
          <w:sz w:val="20"/>
          <w:szCs w:val="20"/>
          <w:lang w:val="en"/>
        </w:rPr>
        <w:t xml:space="preserve"> patients with decompensated liver disease which has been endorsed by the British Society of Gastroenterology (BSG) and British Association for the Study of the Liver (BASL).</w:t>
      </w:r>
      <w:r w:rsidR="00885B92" w:rsidRPr="00913151">
        <w:rPr>
          <w:rFonts w:asciiTheme="majorHAnsi" w:hAnsiTheme="majorHAnsi" w:cs="Arial"/>
          <w:sz w:val="20"/>
          <w:szCs w:val="20"/>
          <w:vertAlign w:val="superscript"/>
          <w:lang w:val="en"/>
        </w:rPr>
        <w:t>1</w:t>
      </w:r>
      <w:r w:rsidR="00885B92" w:rsidRPr="00913151">
        <w:rPr>
          <w:rFonts w:asciiTheme="majorHAnsi" w:hAnsiTheme="majorHAnsi" w:cs="Arial"/>
          <w:sz w:val="20"/>
          <w:szCs w:val="20"/>
          <w:lang w:val="en"/>
        </w:rPr>
        <w:t xml:space="preserve">   </w:t>
      </w:r>
      <w:r w:rsidR="002B7932" w:rsidRPr="00913151">
        <w:rPr>
          <w:rFonts w:asciiTheme="majorHAnsi" w:hAnsiTheme="majorHAnsi" w:cs="Arial"/>
          <w:sz w:val="20"/>
          <w:szCs w:val="20"/>
          <w:lang w:val="en"/>
        </w:rPr>
        <w:t>Recent National Institute for Health and Clinical Excellence (NICE) guidance  have also recently been released, with cautious recommendation for</w:t>
      </w:r>
      <w:r w:rsidR="00380FB8" w:rsidRPr="00913151">
        <w:rPr>
          <w:rFonts w:asciiTheme="majorHAnsi" w:hAnsiTheme="majorHAnsi" w:cs="Arial"/>
          <w:sz w:val="20"/>
          <w:szCs w:val="20"/>
          <w:lang w:val="en"/>
        </w:rPr>
        <w:t xml:space="preserve"> the unlicensed use for ciprofloxacin or </w:t>
      </w:r>
      <w:proofErr w:type="spellStart"/>
      <w:r w:rsidR="00380FB8" w:rsidRPr="00913151">
        <w:rPr>
          <w:rFonts w:asciiTheme="majorHAnsi" w:hAnsiTheme="majorHAnsi" w:cs="Arial"/>
          <w:sz w:val="20"/>
          <w:szCs w:val="20"/>
          <w:lang w:val="en"/>
        </w:rPr>
        <w:t>norfloxacin</w:t>
      </w:r>
      <w:proofErr w:type="spellEnd"/>
      <w:r w:rsidR="00380FB8" w:rsidRPr="00913151">
        <w:rPr>
          <w:rFonts w:asciiTheme="majorHAnsi" w:hAnsiTheme="majorHAnsi" w:cs="Arial"/>
          <w:sz w:val="20"/>
          <w:szCs w:val="20"/>
          <w:lang w:val="en"/>
        </w:rPr>
        <w:t xml:space="preserve"> for the</w:t>
      </w:r>
      <w:r w:rsidR="002B7932" w:rsidRPr="00913151">
        <w:rPr>
          <w:rFonts w:asciiTheme="majorHAnsi" w:hAnsiTheme="majorHAnsi" w:cs="Arial"/>
          <w:sz w:val="20"/>
          <w:szCs w:val="20"/>
          <w:lang w:val="en"/>
        </w:rPr>
        <w:t xml:space="preserve"> primary prophylaxis of SBP.</w:t>
      </w:r>
      <w:r w:rsidR="002B7932" w:rsidRPr="00913151">
        <w:rPr>
          <w:rStyle w:val="EndnoteReference"/>
          <w:rFonts w:asciiTheme="majorHAnsi" w:hAnsiTheme="majorHAnsi" w:cs="Arial"/>
          <w:sz w:val="20"/>
          <w:szCs w:val="20"/>
          <w:lang w:val="en"/>
        </w:rPr>
        <w:endnoteReference w:id="7"/>
      </w:r>
      <w:r w:rsidR="002B7932" w:rsidRPr="00913151">
        <w:rPr>
          <w:rFonts w:asciiTheme="majorHAnsi" w:hAnsiTheme="majorHAnsi" w:cs="Arial"/>
          <w:sz w:val="20"/>
          <w:szCs w:val="20"/>
          <w:lang w:val="en"/>
        </w:rPr>
        <w:t xml:space="preserve"> </w:t>
      </w:r>
    </w:p>
    <w:p w14:paraId="6E8EF4EA" w14:textId="77777777" w:rsidR="00524AAA" w:rsidRDefault="00524AAA" w:rsidP="0022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en"/>
        </w:rPr>
      </w:pPr>
    </w:p>
    <w:p w14:paraId="6A3E37F2" w14:textId="77777777" w:rsidR="00380FB8" w:rsidRPr="00264023" w:rsidRDefault="00380FB8" w:rsidP="0022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b/>
          <w:bCs/>
          <w:sz w:val="32"/>
          <w:szCs w:val="32"/>
          <w:lang w:val="en-US"/>
        </w:rPr>
      </w:pPr>
    </w:p>
    <w:p w14:paraId="6375EE47" w14:textId="633DF380" w:rsidR="00227B68" w:rsidRPr="00264023" w:rsidRDefault="0024574F" w:rsidP="00227B68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Audit Standards</w:t>
      </w:r>
    </w:p>
    <w:p w14:paraId="37152F2E" w14:textId="66D6B43D" w:rsidR="00227B68" w:rsidRPr="00264023" w:rsidRDefault="00227B68" w:rsidP="0022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penSans-Semibold"/>
          <w:bCs/>
          <w:lang w:val="en-US"/>
        </w:rPr>
      </w:pPr>
      <w:r w:rsidRPr="00265A70">
        <w:rPr>
          <w:rFonts w:asciiTheme="majorHAnsi" w:hAnsiTheme="majorHAnsi" w:cs="OpenSans-Semibold"/>
          <w:b/>
          <w:bCs/>
          <w:lang w:val="en-US"/>
        </w:rPr>
        <w:t>EASL</w:t>
      </w:r>
      <w:r w:rsidR="00380FB8" w:rsidRPr="00265A70">
        <w:rPr>
          <w:rFonts w:asciiTheme="majorHAnsi" w:hAnsiTheme="majorHAnsi" w:cs="OpenSans-Semibold"/>
          <w:b/>
          <w:bCs/>
          <w:lang w:val="en-US"/>
        </w:rPr>
        <w:t xml:space="preserve"> (2010)</w:t>
      </w:r>
      <w:r w:rsidRPr="00264023">
        <w:rPr>
          <w:rFonts w:asciiTheme="majorHAnsi" w:hAnsiTheme="majorHAnsi" w:cs="OpenSans-Semibold"/>
          <w:bCs/>
          <w:lang w:val="en-US"/>
        </w:rPr>
        <w:t>:</w:t>
      </w:r>
      <w:r w:rsidR="00265A70" w:rsidRPr="00265A70">
        <w:rPr>
          <w:rFonts w:asciiTheme="majorHAnsi" w:hAnsiTheme="majorHAnsi" w:cs="OpenSans-Semibold"/>
          <w:bCs/>
          <w:vertAlign w:val="superscript"/>
          <w:lang w:val="en-US"/>
        </w:rPr>
        <w:t>6</w:t>
      </w:r>
    </w:p>
    <w:p w14:paraId="42BFCE41" w14:textId="77777777" w:rsidR="00227B68" w:rsidRPr="00264023" w:rsidRDefault="00227B68" w:rsidP="0022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penSans-Semibold"/>
          <w:bCs/>
          <w:i/>
          <w:lang w:val="en-US"/>
        </w:rPr>
      </w:pPr>
    </w:p>
    <w:p w14:paraId="50170C1F" w14:textId="55CD6525" w:rsidR="00227B68" w:rsidRPr="00380FB8" w:rsidRDefault="00227B68" w:rsidP="00C00B6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360"/>
        <w:contextualSpacing w:val="0"/>
        <w:jc w:val="both"/>
        <w:rPr>
          <w:rFonts w:asciiTheme="majorHAnsi" w:hAnsiTheme="majorHAnsi" w:cs="OpenSans-Light"/>
          <w:i/>
          <w:sz w:val="18"/>
          <w:szCs w:val="18"/>
          <w:lang w:val="en-US"/>
        </w:rPr>
      </w:pPr>
      <w:r w:rsidRPr="00270603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A diagnostic paracentesis should be carried out in all patients with cirrhosis and ascites at hospital admission to rule out SBP</w:t>
      </w:r>
      <w:r w:rsidR="00DB5455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 </w:t>
      </w: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(Level A1).</w:t>
      </w:r>
      <w:r w:rsidR="00265A70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– subsequently adopted by BSG/BASL to be performed within 24 hours.</w:t>
      </w:r>
      <w:r w:rsidR="00265A70" w:rsidRPr="00265A70">
        <w:rPr>
          <w:rFonts w:asciiTheme="majorHAnsi" w:hAnsiTheme="majorHAnsi" w:cs="OpenSans-Semibold"/>
          <w:bCs/>
          <w:i/>
          <w:sz w:val="18"/>
          <w:szCs w:val="18"/>
          <w:vertAlign w:val="superscript"/>
          <w:lang w:val="en-US"/>
        </w:rPr>
        <w:t>1</w:t>
      </w:r>
    </w:p>
    <w:p w14:paraId="41BBB26F" w14:textId="77777777" w:rsidR="00227B68" w:rsidRPr="00380FB8" w:rsidRDefault="00227B68" w:rsidP="00C00B6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OpenSans-Semibold"/>
          <w:bCs/>
          <w:i/>
          <w:sz w:val="18"/>
          <w:szCs w:val="18"/>
          <w:lang w:val="en-US"/>
        </w:rPr>
      </w:pPr>
    </w:p>
    <w:p w14:paraId="05457976" w14:textId="32015A4D" w:rsidR="00227B68" w:rsidRPr="00380FB8" w:rsidRDefault="00227B68" w:rsidP="00C00B6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360"/>
        <w:contextualSpacing w:val="0"/>
        <w:jc w:val="both"/>
        <w:rPr>
          <w:rFonts w:asciiTheme="majorHAnsi" w:hAnsiTheme="majorHAnsi" w:cs="OpenSans-Light"/>
          <w:i/>
          <w:sz w:val="18"/>
          <w:szCs w:val="18"/>
          <w:lang w:val="en-US"/>
        </w:rPr>
      </w:pP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The diagnosis of SBP is based on neutrophil count in 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ascitic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fluid of &gt;250/mm</w:t>
      </w:r>
      <w:r w:rsidRPr="00DB5455">
        <w:rPr>
          <w:rFonts w:asciiTheme="majorHAnsi" w:hAnsiTheme="majorHAnsi" w:cs="OpenSans-Semibold"/>
          <w:bCs/>
          <w:i/>
          <w:sz w:val="18"/>
          <w:szCs w:val="18"/>
          <w:vertAlign w:val="superscript"/>
          <w:lang w:val="en-US"/>
        </w:rPr>
        <w:t xml:space="preserve">3 </w:t>
      </w: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as determined by microscopy (Level A1). </w:t>
      </w:r>
    </w:p>
    <w:p w14:paraId="065BF111" w14:textId="77777777" w:rsidR="00227B68" w:rsidRPr="00380FB8" w:rsidRDefault="00227B68" w:rsidP="00C00B6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OpenSans-Light"/>
          <w:i/>
          <w:sz w:val="18"/>
          <w:szCs w:val="18"/>
          <w:lang w:val="en-US"/>
        </w:rPr>
      </w:pPr>
    </w:p>
    <w:p w14:paraId="5011C4AF" w14:textId="77777777" w:rsidR="00227B68" w:rsidRPr="00380FB8" w:rsidRDefault="00227B68" w:rsidP="00C00B6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360"/>
        <w:contextualSpacing w:val="0"/>
        <w:jc w:val="both"/>
        <w:rPr>
          <w:rFonts w:asciiTheme="majorHAnsi" w:hAnsiTheme="majorHAnsi" w:cs="OpenSans-Light"/>
          <w:i/>
          <w:sz w:val="18"/>
          <w:szCs w:val="18"/>
          <w:lang w:val="en-US"/>
        </w:rPr>
      </w:pP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Some patients may have an 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ascitic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neutrophil count less than 250/mm</w:t>
      </w:r>
      <w:r w:rsidRPr="00DB5455">
        <w:rPr>
          <w:rFonts w:asciiTheme="majorHAnsi" w:hAnsiTheme="majorHAnsi" w:cs="OpenSans-Semibold"/>
          <w:bCs/>
          <w:i/>
          <w:sz w:val="18"/>
          <w:szCs w:val="18"/>
          <w:vertAlign w:val="superscript"/>
          <w:lang w:val="en-US"/>
        </w:rPr>
        <w:t>3</w:t>
      </w: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but with a positive 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ascitic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fluid culture. This condition is known as 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bacterascites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. If the patient exhibits signs of systemic inflammation or infection, the patient should be treated with antibiotics (Level A1). </w:t>
      </w:r>
      <w:r w:rsidRPr="00DB5455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Otherwise, the patient should undergo a second paracentesis when culture results come back positive.</w:t>
      </w: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Patients in whom the repeat 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ascitic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neutrophil count is &gt;250/mm</w:t>
      </w:r>
      <w:r w:rsidRPr="00DB5455">
        <w:rPr>
          <w:rFonts w:asciiTheme="majorHAnsi" w:hAnsiTheme="majorHAnsi" w:cs="OpenSans-Semibold"/>
          <w:bCs/>
          <w:i/>
          <w:sz w:val="18"/>
          <w:szCs w:val="18"/>
          <w:vertAlign w:val="superscript"/>
          <w:lang w:val="en-US"/>
        </w:rPr>
        <w:t>3</w:t>
      </w: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should be treated for SBP, and the remaining patients (i.e., neutrophils &lt;250/mm3) should be followed up (Level B1).</w:t>
      </w:r>
    </w:p>
    <w:p w14:paraId="24E2099E" w14:textId="44424458" w:rsidR="00C00B60" w:rsidRPr="00380FB8" w:rsidRDefault="00227B68" w:rsidP="00C00B60">
      <w:pPr>
        <w:pStyle w:val="ListParagraph"/>
        <w:numPr>
          <w:ilvl w:val="0"/>
          <w:numId w:val="15"/>
        </w:numPr>
        <w:adjustRightInd w:val="0"/>
        <w:spacing w:before="30" w:after="225" w:line="264" w:lineRule="auto"/>
        <w:ind w:left="360"/>
        <w:contextualSpacing w:val="0"/>
        <w:jc w:val="both"/>
        <w:rPr>
          <w:rFonts w:asciiTheme="majorHAnsi" w:hAnsiTheme="majorHAnsi" w:cs="Arial"/>
          <w:i/>
          <w:sz w:val="18"/>
          <w:szCs w:val="18"/>
          <w:lang w:val="en"/>
        </w:rPr>
      </w:pPr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lastRenderedPageBreak/>
        <w:t xml:space="preserve">Empirical antibiotics should be started immediately following the diagnosis of SBP </w:t>
      </w: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(Level A1).</w:t>
      </w:r>
    </w:p>
    <w:p w14:paraId="60078145" w14:textId="299E93EB" w:rsidR="00227B68" w:rsidRPr="00380FB8" w:rsidRDefault="00227B68" w:rsidP="00C00B60">
      <w:pPr>
        <w:pStyle w:val="ListParagraph"/>
        <w:numPr>
          <w:ilvl w:val="0"/>
          <w:numId w:val="15"/>
        </w:numPr>
        <w:adjustRightInd w:val="0"/>
        <w:spacing w:before="30" w:after="225" w:line="264" w:lineRule="auto"/>
        <w:ind w:left="360"/>
        <w:contextualSpacing w:val="0"/>
        <w:jc w:val="both"/>
        <w:rPr>
          <w:rFonts w:asciiTheme="majorHAnsi" w:hAnsiTheme="majorHAnsi" w:cs="Arial"/>
          <w:i/>
          <w:sz w:val="18"/>
          <w:szCs w:val="18"/>
          <w:lang w:val="en"/>
        </w:rPr>
      </w:pPr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SBP resolves with antibiotic therapy in approximately 90% of patients. Resolution of SBP should be proven by demonstrating a decrease of </w:t>
      </w:r>
      <w:proofErr w:type="spellStart"/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ascitic</w:t>
      </w:r>
      <w:proofErr w:type="spellEnd"/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 neutrophil count to &lt;250/mm3 and sterile cultures of </w:t>
      </w:r>
      <w:proofErr w:type="spellStart"/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ascitic</w:t>
      </w:r>
      <w:proofErr w:type="spellEnd"/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 fluid, if positive at diagnosis</w:t>
      </w: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(Level A1). </w:t>
      </w:r>
    </w:p>
    <w:p w14:paraId="3A25E8FA" w14:textId="2CAC675C" w:rsidR="00227B68" w:rsidRPr="00380FB8" w:rsidRDefault="00227B68" w:rsidP="00C00B60">
      <w:pPr>
        <w:pStyle w:val="ListParagraph"/>
        <w:numPr>
          <w:ilvl w:val="0"/>
          <w:numId w:val="15"/>
        </w:numPr>
        <w:adjustRightInd w:val="0"/>
        <w:spacing w:before="30" w:after="225" w:line="264" w:lineRule="auto"/>
        <w:ind w:left="360"/>
        <w:contextualSpacing w:val="0"/>
        <w:jc w:val="both"/>
        <w:rPr>
          <w:rFonts w:asciiTheme="majorHAnsi" w:hAnsiTheme="majorHAnsi" w:cs="OpenSans-Semibold"/>
          <w:bCs/>
          <w:i/>
          <w:sz w:val="18"/>
          <w:szCs w:val="18"/>
          <w:lang w:val="en-US"/>
        </w:rPr>
      </w:pP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HRS occurs in approximately 30% of patients with SBP treated with antibiotics alone, and is associated with a poor survival. The administration of albumin (1.5 g/kg at diagnosis and 1g/kg on day 3) decreases the frequency of HRS and improves survival (Level A1). It is unclear whether albumin is useful in the subgroup of patients with baseline serum bilirubin &lt;68 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μmol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/L and creatinine &lt;88 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μmol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/L (Level B2). Until more information is available, </w:t>
      </w:r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we recommend that all patients who develop SBP should be treated with broad spectrum antibiotics and intravenous albumin</w:t>
      </w: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(Level A2).</w:t>
      </w:r>
    </w:p>
    <w:p w14:paraId="1A1887FE" w14:textId="75C9F3F4" w:rsidR="00227B68" w:rsidRPr="00380FB8" w:rsidRDefault="00227B68" w:rsidP="00C00B60">
      <w:pPr>
        <w:pStyle w:val="ListParagraph"/>
        <w:numPr>
          <w:ilvl w:val="0"/>
          <w:numId w:val="15"/>
        </w:numPr>
        <w:adjustRightInd w:val="0"/>
        <w:spacing w:before="30" w:after="225" w:line="264" w:lineRule="auto"/>
        <w:ind w:left="360"/>
        <w:contextualSpacing w:val="0"/>
        <w:jc w:val="both"/>
        <w:rPr>
          <w:rFonts w:asciiTheme="majorHAnsi" w:hAnsiTheme="majorHAnsi" w:cs="OpenSans-Semibold"/>
          <w:bCs/>
          <w:i/>
          <w:sz w:val="18"/>
          <w:szCs w:val="18"/>
          <w:lang w:val="en-US"/>
        </w:rPr>
      </w:pP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One double-blind, placebo-controlled, randomized trial performed in </w:t>
      </w:r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patients with severe liver disease (</w:t>
      </w:r>
      <w:r w:rsidR="00C00B60"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Child-Pugh </w:t>
      </w:r>
      <w:r w:rsidR="00740AED"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sym w:font="Symbol" w:char="F0B3"/>
      </w:r>
      <w:r w:rsidR="00740AED"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8</w:t>
      </w:r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) with </w:t>
      </w:r>
      <w:proofErr w:type="spellStart"/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ascitic</w:t>
      </w:r>
      <w:proofErr w:type="spellEnd"/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 fluid protein lower than 15 g/L and without prior SBP showed that </w:t>
      </w:r>
      <w:proofErr w:type="spellStart"/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norfloxacin</w:t>
      </w:r>
      <w:proofErr w:type="spellEnd"/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 (400 mg/day) reduced the risk of SBP and improved survival. Therefore, these patients should be considered for long-term prophylaxis with </w:t>
      </w:r>
      <w:proofErr w:type="spellStart"/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norfloxacin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(Level A1).</w:t>
      </w:r>
    </w:p>
    <w:p w14:paraId="73564F6E" w14:textId="2B91F766" w:rsidR="00C00B60" w:rsidRPr="00380FB8" w:rsidRDefault="00C00B60" w:rsidP="00C00B60">
      <w:pPr>
        <w:pStyle w:val="ListParagraph"/>
        <w:numPr>
          <w:ilvl w:val="0"/>
          <w:numId w:val="15"/>
        </w:numPr>
        <w:adjustRightInd w:val="0"/>
        <w:spacing w:before="30" w:after="225" w:line="264" w:lineRule="auto"/>
        <w:ind w:left="360"/>
        <w:contextualSpacing w:val="0"/>
        <w:jc w:val="both"/>
        <w:rPr>
          <w:rFonts w:asciiTheme="majorHAnsi" w:hAnsiTheme="majorHAnsi" w:cs="OpenSans-Semibold"/>
          <w:bCs/>
          <w:i/>
          <w:sz w:val="18"/>
          <w:szCs w:val="18"/>
          <w:lang w:val="en-US"/>
        </w:rPr>
      </w:pPr>
      <w:r w:rsidRPr="00380FB8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Patients who recover from an episode of SBP have a high risk of developing recurrent SBP. In these patients, the administration of prophylactic antibiotics reduces the risk of recurrent SBP</w:t>
      </w: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. 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Norfloxacin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(400 mg/day, orally) is the treatment of choice (Level A1). Alternative antibiotics include ciprofloxacin (750 mg once weekly, orally) or co-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trimoxazole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(800 mg sulfamethoxazole and 160 mg trimethoprim daily, orally), but evidence is not as strong as that with </w:t>
      </w:r>
      <w:proofErr w:type="spellStart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norfloxacin</w:t>
      </w:r>
      <w:proofErr w:type="spellEnd"/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 (Level A2).</w:t>
      </w:r>
    </w:p>
    <w:p w14:paraId="7DDC2055" w14:textId="4FCB7DA1" w:rsidR="00CF27CB" w:rsidRDefault="00C00B60" w:rsidP="00CF27CB">
      <w:pPr>
        <w:pStyle w:val="ListParagraph"/>
        <w:numPr>
          <w:ilvl w:val="0"/>
          <w:numId w:val="15"/>
        </w:numPr>
        <w:adjustRightInd w:val="0"/>
        <w:spacing w:before="30" w:after="225" w:line="264" w:lineRule="auto"/>
        <w:ind w:left="360"/>
        <w:contextualSpacing w:val="0"/>
        <w:jc w:val="both"/>
        <w:rPr>
          <w:rFonts w:asciiTheme="majorHAnsi" w:hAnsiTheme="majorHAnsi" w:cs="OpenSans-Semibold"/>
          <w:bCs/>
          <w:i/>
          <w:sz w:val="18"/>
          <w:szCs w:val="18"/>
          <w:lang w:val="en-US"/>
        </w:rPr>
      </w:pPr>
      <w:r w:rsidRPr="00380FB8">
        <w:rPr>
          <w:rFonts w:asciiTheme="majorHAnsi" w:hAnsiTheme="majorHAnsi" w:cs="OpenSans-Semibold"/>
          <w:bCs/>
          <w:i/>
          <w:sz w:val="18"/>
          <w:szCs w:val="18"/>
          <w:lang w:val="en-US"/>
        </w:rPr>
        <w:t>Patients who recover from SBP have a poor long-term survival and should be considered for liver transplantation (Level A1).</w:t>
      </w:r>
    </w:p>
    <w:p w14:paraId="4C9F7276" w14:textId="77777777" w:rsidR="00265A70" w:rsidRPr="00265A70" w:rsidRDefault="00265A70" w:rsidP="00265A70">
      <w:pPr>
        <w:adjustRightInd w:val="0"/>
        <w:spacing w:before="30" w:after="225" w:line="264" w:lineRule="auto"/>
        <w:jc w:val="both"/>
        <w:rPr>
          <w:rFonts w:asciiTheme="majorHAnsi" w:hAnsiTheme="majorHAnsi" w:cs="OpenSans-Semibold"/>
          <w:bCs/>
          <w:i/>
          <w:sz w:val="18"/>
          <w:szCs w:val="18"/>
          <w:lang w:val="en-US"/>
        </w:rPr>
      </w:pPr>
    </w:p>
    <w:p w14:paraId="0BE9531E" w14:textId="07E920BD" w:rsidR="00CF27CB" w:rsidRPr="00265A70" w:rsidRDefault="00CF27CB" w:rsidP="00CF27CB">
      <w:pPr>
        <w:adjustRightInd w:val="0"/>
        <w:spacing w:before="30" w:after="225" w:line="264" w:lineRule="auto"/>
        <w:jc w:val="both"/>
        <w:rPr>
          <w:rFonts w:asciiTheme="majorHAnsi" w:hAnsiTheme="majorHAnsi" w:cs="OpenSans-Semibold"/>
          <w:bCs/>
          <w:sz w:val="20"/>
          <w:szCs w:val="20"/>
          <w:u w:val="single"/>
          <w:lang w:val="en-US"/>
        </w:rPr>
      </w:pPr>
      <w:r w:rsidRPr="00265A70">
        <w:rPr>
          <w:rFonts w:asciiTheme="majorHAnsi" w:hAnsiTheme="majorHAnsi" w:cs="OpenSans-Semibold"/>
          <w:b/>
          <w:bCs/>
          <w:sz w:val="20"/>
          <w:szCs w:val="20"/>
          <w:u w:val="single"/>
          <w:lang w:val="en-US"/>
        </w:rPr>
        <w:t>N</w:t>
      </w:r>
      <w:r w:rsidR="00265A70" w:rsidRPr="00265A70">
        <w:rPr>
          <w:rFonts w:asciiTheme="majorHAnsi" w:hAnsiTheme="majorHAnsi" w:cs="OpenSans-Semibold"/>
          <w:b/>
          <w:bCs/>
          <w:sz w:val="20"/>
          <w:szCs w:val="20"/>
          <w:u w:val="single"/>
          <w:lang w:val="en-US"/>
        </w:rPr>
        <w:t>ICE (</w:t>
      </w:r>
      <w:r w:rsidRPr="00265A70">
        <w:rPr>
          <w:rFonts w:asciiTheme="majorHAnsi" w:hAnsiTheme="majorHAnsi" w:cs="OpenSans-Semibold"/>
          <w:b/>
          <w:bCs/>
          <w:sz w:val="20"/>
          <w:szCs w:val="20"/>
          <w:u w:val="single"/>
          <w:lang w:val="en-US"/>
        </w:rPr>
        <w:t>July 2016</w:t>
      </w:r>
      <w:r w:rsidR="00265A70" w:rsidRPr="00265A70">
        <w:rPr>
          <w:rFonts w:asciiTheme="majorHAnsi" w:hAnsiTheme="majorHAnsi" w:cs="OpenSans-Semibold"/>
          <w:b/>
          <w:bCs/>
          <w:sz w:val="20"/>
          <w:szCs w:val="20"/>
          <w:u w:val="single"/>
          <w:lang w:val="en-US"/>
        </w:rPr>
        <w:t>)</w:t>
      </w:r>
      <w:r w:rsidR="00265A70" w:rsidRPr="00265A70">
        <w:rPr>
          <w:rFonts w:asciiTheme="majorHAnsi" w:hAnsiTheme="majorHAnsi" w:cs="OpenSans-Semibold"/>
          <w:bCs/>
          <w:sz w:val="20"/>
          <w:szCs w:val="20"/>
          <w:u w:val="single"/>
          <w:lang w:val="en-US"/>
        </w:rPr>
        <w:t>:</w:t>
      </w:r>
      <w:r w:rsidR="00265A70" w:rsidRPr="00265A70">
        <w:rPr>
          <w:rFonts w:asciiTheme="majorHAnsi" w:hAnsiTheme="majorHAnsi" w:cs="OpenSans-Semibold"/>
          <w:bCs/>
          <w:sz w:val="20"/>
          <w:szCs w:val="20"/>
          <w:u w:val="single"/>
          <w:vertAlign w:val="superscript"/>
          <w:lang w:val="en-US"/>
        </w:rPr>
        <w:t>7</w:t>
      </w:r>
    </w:p>
    <w:p w14:paraId="2D26E636" w14:textId="5EFCD87E" w:rsidR="00CF27CB" w:rsidRPr="00270603" w:rsidRDefault="00CF27CB" w:rsidP="00CF27CB">
      <w:pPr>
        <w:adjustRightInd w:val="0"/>
        <w:spacing w:before="30" w:after="225" w:line="264" w:lineRule="auto"/>
        <w:jc w:val="both"/>
        <w:rPr>
          <w:rFonts w:asciiTheme="majorHAnsi" w:hAnsiTheme="majorHAnsi" w:cs="OpenSans-Semibold"/>
          <w:bCs/>
          <w:i/>
          <w:sz w:val="18"/>
          <w:szCs w:val="18"/>
          <w:lang w:val="en-US"/>
        </w:rPr>
      </w:pPr>
      <w:proofErr w:type="gramStart"/>
      <w:r w:rsidRPr="00270603">
        <w:rPr>
          <w:rFonts w:asciiTheme="majorHAnsi" w:hAnsiTheme="majorHAnsi" w:cs="OpenSans-Semibold"/>
          <w:bCs/>
          <w:i/>
          <w:sz w:val="18"/>
          <w:szCs w:val="18"/>
          <w:lang w:val="en-US"/>
        </w:rPr>
        <w:t>1.3.5  </w:t>
      </w:r>
      <w:r w:rsidRPr="00270603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Offer</w:t>
      </w:r>
      <w:proofErr w:type="gramEnd"/>
      <w:r w:rsidRPr="00270603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 prophylactic oral ciprofloxacin or </w:t>
      </w:r>
      <w:proofErr w:type="spellStart"/>
      <w:r w:rsidRPr="00270603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norfloxacin</w:t>
      </w:r>
      <w:proofErr w:type="spellEnd"/>
      <w:r w:rsidRPr="00270603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 for people with cirrhosis and ascites with an </w:t>
      </w:r>
      <w:proofErr w:type="spellStart"/>
      <w:r w:rsidRPr="00270603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ascitic</w:t>
      </w:r>
      <w:proofErr w:type="spellEnd"/>
      <w:r w:rsidRPr="00270603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 protein of 15 g/</w:t>
      </w:r>
      <w:proofErr w:type="spellStart"/>
      <w:r w:rsidRPr="00270603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>litre</w:t>
      </w:r>
      <w:proofErr w:type="spellEnd"/>
      <w:r w:rsidRPr="00270603">
        <w:rPr>
          <w:rFonts w:asciiTheme="majorHAnsi" w:hAnsiTheme="majorHAnsi" w:cs="OpenSans-Semibold"/>
          <w:b/>
          <w:bCs/>
          <w:i/>
          <w:sz w:val="18"/>
          <w:szCs w:val="18"/>
          <w:lang w:val="en-US"/>
        </w:rPr>
        <w:t xml:space="preserve"> or less, until the ascites has resolved</w:t>
      </w:r>
      <w:r w:rsidRPr="00270603">
        <w:rPr>
          <w:rFonts w:asciiTheme="majorHAnsi" w:hAnsiTheme="majorHAnsi" w:cs="OpenSans-Semibold"/>
          <w:bCs/>
          <w:i/>
          <w:sz w:val="18"/>
          <w:szCs w:val="18"/>
          <w:lang w:val="en-US"/>
        </w:rPr>
        <w:t xml:space="preserve">. </w:t>
      </w:r>
    </w:p>
    <w:p w14:paraId="6C53BA8A" w14:textId="77777777" w:rsidR="00BE14BA" w:rsidRPr="00264023" w:rsidRDefault="00BE14BA" w:rsidP="00BE14BA">
      <w:pPr>
        <w:spacing w:before="30" w:after="225" w:line="336" w:lineRule="atLeast"/>
        <w:rPr>
          <w:rFonts w:asciiTheme="majorHAnsi" w:eastAsia="Times New Roman" w:hAnsiTheme="majorHAnsi" w:cs="Arial"/>
          <w:sz w:val="20"/>
          <w:szCs w:val="20"/>
          <w:lang w:val="en" w:eastAsia="en-GB"/>
        </w:rPr>
      </w:pPr>
    </w:p>
    <w:p w14:paraId="5C84E7FA" w14:textId="77777777" w:rsidR="003E51D7" w:rsidRDefault="003E51D7" w:rsidP="003E51D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mallCaps/>
        </w:rPr>
      </w:pPr>
    </w:p>
    <w:p w14:paraId="6504F0BE" w14:textId="77777777" w:rsidR="00C71428" w:rsidRPr="00264023" w:rsidRDefault="00C71428" w:rsidP="00C71428">
      <w:pPr>
        <w:pBdr>
          <w:bottom w:val="single" w:sz="4" w:space="1" w:color="auto"/>
        </w:pBdr>
        <w:rPr>
          <w:rFonts w:asciiTheme="majorHAnsi" w:hAnsiTheme="majorHAnsi"/>
          <w:b/>
          <w:smallCaps/>
          <w:sz w:val="28"/>
          <w:szCs w:val="28"/>
        </w:rPr>
      </w:pPr>
      <w:r w:rsidRPr="00264023">
        <w:rPr>
          <w:rFonts w:asciiTheme="majorHAnsi" w:hAnsiTheme="majorHAnsi"/>
          <w:b/>
          <w:smallCaps/>
          <w:sz w:val="28"/>
          <w:szCs w:val="28"/>
        </w:rPr>
        <w:t>Aims and Outcome Measures</w:t>
      </w:r>
    </w:p>
    <w:p w14:paraId="40682DE5" w14:textId="62460A39" w:rsidR="002063D2" w:rsidRPr="00913151" w:rsidRDefault="0000660D" w:rsidP="0000660D">
      <w:pPr>
        <w:spacing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913151">
        <w:rPr>
          <w:rFonts w:asciiTheme="majorHAnsi" w:eastAsia="Times New Roman" w:hAnsiTheme="majorHAnsi"/>
          <w:sz w:val="20"/>
          <w:szCs w:val="20"/>
        </w:rPr>
        <w:t xml:space="preserve">During the last WMRIG meeting, </w:t>
      </w:r>
      <w:r w:rsidR="00783F2F">
        <w:rPr>
          <w:rFonts w:asciiTheme="majorHAnsi" w:eastAsia="Times New Roman" w:hAnsiTheme="majorHAnsi"/>
          <w:sz w:val="20"/>
          <w:szCs w:val="20"/>
        </w:rPr>
        <w:t xml:space="preserve">a regional audit with focus on </w:t>
      </w:r>
      <w:r w:rsidRPr="00913151">
        <w:rPr>
          <w:rFonts w:asciiTheme="majorHAnsi" w:eastAsia="Times New Roman" w:hAnsiTheme="majorHAnsi"/>
          <w:sz w:val="20"/>
          <w:szCs w:val="20"/>
        </w:rPr>
        <w:t>SBP</w:t>
      </w:r>
      <w:r w:rsidR="00783F2F">
        <w:rPr>
          <w:rFonts w:asciiTheme="majorHAnsi" w:eastAsia="Times New Roman" w:hAnsiTheme="majorHAnsi"/>
          <w:sz w:val="20"/>
          <w:szCs w:val="20"/>
        </w:rPr>
        <w:t xml:space="preserve"> diagnosis and management was proposed</w:t>
      </w:r>
      <w:r w:rsidRPr="00913151">
        <w:rPr>
          <w:rFonts w:asciiTheme="majorHAnsi" w:eastAsia="Times New Roman" w:hAnsiTheme="majorHAnsi"/>
          <w:sz w:val="20"/>
          <w:szCs w:val="20"/>
        </w:rPr>
        <w:t xml:space="preserve">, with particular focus on primary prophylaxis, and </w:t>
      </w:r>
      <w:r w:rsidR="00A524F4">
        <w:rPr>
          <w:rFonts w:asciiTheme="majorHAnsi" w:eastAsia="Times New Roman" w:hAnsiTheme="majorHAnsi"/>
          <w:sz w:val="20"/>
          <w:szCs w:val="20"/>
        </w:rPr>
        <w:t xml:space="preserve">second tap to </w:t>
      </w:r>
      <w:r w:rsidRPr="00913151">
        <w:rPr>
          <w:rFonts w:asciiTheme="majorHAnsi" w:eastAsia="Times New Roman" w:hAnsiTheme="majorHAnsi"/>
          <w:sz w:val="20"/>
          <w:szCs w:val="20"/>
        </w:rPr>
        <w:t>ensure</w:t>
      </w:r>
      <w:r w:rsidR="00A524F4">
        <w:rPr>
          <w:rFonts w:asciiTheme="majorHAnsi" w:eastAsia="Times New Roman" w:hAnsiTheme="majorHAnsi"/>
          <w:sz w:val="20"/>
          <w:szCs w:val="20"/>
        </w:rPr>
        <w:t xml:space="preserve"> SBP</w:t>
      </w:r>
      <w:r w:rsidRPr="00913151">
        <w:rPr>
          <w:rFonts w:asciiTheme="majorHAnsi" w:eastAsia="Times New Roman" w:hAnsiTheme="majorHAnsi"/>
          <w:sz w:val="20"/>
          <w:szCs w:val="20"/>
        </w:rPr>
        <w:t xml:space="preserve"> resolution.  This idea has been expanded to include patient co-morbidities</w:t>
      </w:r>
      <w:r w:rsidR="002063D2" w:rsidRPr="00913151">
        <w:rPr>
          <w:rFonts w:asciiTheme="majorHAnsi" w:eastAsia="Times New Roman" w:hAnsiTheme="majorHAnsi"/>
          <w:sz w:val="20"/>
          <w:szCs w:val="20"/>
        </w:rPr>
        <w:t xml:space="preserve">, </w:t>
      </w:r>
      <w:r w:rsidR="001D64D9">
        <w:rPr>
          <w:rFonts w:asciiTheme="majorHAnsi" w:eastAsia="Times New Roman" w:hAnsiTheme="majorHAnsi"/>
          <w:sz w:val="20"/>
          <w:szCs w:val="20"/>
        </w:rPr>
        <w:t>additional auditable measures, and</w:t>
      </w:r>
      <w:r w:rsidRPr="00913151">
        <w:rPr>
          <w:rFonts w:asciiTheme="majorHAnsi" w:eastAsia="Times New Roman" w:hAnsiTheme="majorHAnsi"/>
          <w:sz w:val="20"/>
          <w:szCs w:val="20"/>
        </w:rPr>
        <w:t xml:space="preserve"> </w:t>
      </w:r>
      <w:r w:rsidR="00E6062B">
        <w:rPr>
          <w:rFonts w:asciiTheme="majorHAnsi" w:eastAsia="Times New Roman" w:hAnsiTheme="majorHAnsi"/>
          <w:sz w:val="20"/>
          <w:szCs w:val="20"/>
        </w:rPr>
        <w:t xml:space="preserve">SBP related </w:t>
      </w:r>
      <w:r w:rsidRPr="00913151">
        <w:rPr>
          <w:rFonts w:asciiTheme="majorHAnsi" w:eastAsia="Times New Roman" w:hAnsiTheme="majorHAnsi"/>
          <w:sz w:val="20"/>
          <w:szCs w:val="20"/>
        </w:rPr>
        <w:t>outcome</w:t>
      </w:r>
      <w:r w:rsidR="00E6062B">
        <w:rPr>
          <w:rFonts w:asciiTheme="majorHAnsi" w:eastAsia="Times New Roman" w:hAnsiTheme="majorHAnsi"/>
          <w:sz w:val="20"/>
          <w:szCs w:val="20"/>
        </w:rPr>
        <w:t>s</w:t>
      </w:r>
      <w:r w:rsidRPr="00913151">
        <w:rPr>
          <w:rFonts w:asciiTheme="majorHAnsi" w:eastAsia="Times New Roman" w:hAnsiTheme="majorHAnsi"/>
          <w:sz w:val="20"/>
          <w:szCs w:val="20"/>
        </w:rPr>
        <w:t>.</w:t>
      </w:r>
    </w:p>
    <w:p w14:paraId="6366022D" w14:textId="2C15C8B5" w:rsidR="0063138C" w:rsidRPr="00913151" w:rsidRDefault="0063138C" w:rsidP="001D64D9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  <w:r w:rsidRPr="00913151">
        <w:rPr>
          <w:sz w:val="20"/>
          <w:szCs w:val="20"/>
        </w:rPr>
        <w:t xml:space="preserve">Although studies have correlated </w:t>
      </w:r>
      <w:proofErr w:type="spellStart"/>
      <w:r w:rsidRPr="00913151">
        <w:rPr>
          <w:sz w:val="20"/>
          <w:szCs w:val="20"/>
        </w:rPr>
        <w:t>ascitic</w:t>
      </w:r>
      <w:proofErr w:type="spellEnd"/>
      <w:r w:rsidRPr="00913151">
        <w:rPr>
          <w:sz w:val="20"/>
          <w:szCs w:val="20"/>
        </w:rPr>
        <w:t xml:space="preserve"> protein and SBP, there has been no published data assessing </w:t>
      </w:r>
      <w:proofErr w:type="spellStart"/>
      <w:r w:rsidRPr="00913151">
        <w:rPr>
          <w:sz w:val="20"/>
          <w:szCs w:val="20"/>
        </w:rPr>
        <w:t>ascitic</w:t>
      </w:r>
      <w:proofErr w:type="spellEnd"/>
      <w:r w:rsidRPr="00913151">
        <w:rPr>
          <w:sz w:val="20"/>
          <w:szCs w:val="20"/>
        </w:rPr>
        <w:t xml:space="preserve"> albumin and SBP risk over time. As some labs will only provide an </w:t>
      </w:r>
      <w:proofErr w:type="spellStart"/>
      <w:r w:rsidRPr="00913151">
        <w:rPr>
          <w:sz w:val="20"/>
          <w:szCs w:val="20"/>
        </w:rPr>
        <w:t>ascitic</w:t>
      </w:r>
      <w:proofErr w:type="spellEnd"/>
      <w:r w:rsidRPr="00913151">
        <w:rPr>
          <w:sz w:val="20"/>
          <w:szCs w:val="20"/>
        </w:rPr>
        <w:t xml:space="preserve"> albumin level, this may be used for correlation analysis. </w:t>
      </w:r>
    </w:p>
    <w:p w14:paraId="063A79FE" w14:textId="0A2C37EB" w:rsidR="002063D2" w:rsidRPr="00A524F4" w:rsidRDefault="002063D2" w:rsidP="0000660D">
      <w:pPr>
        <w:spacing w:line="36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A524F4">
        <w:rPr>
          <w:rFonts w:asciiTheme="majorHAnsi" w:eastAsia="Times New Roman" w:hAnsiTheme="majorHAnsi"/>
          <w:b/>
          <w:sz w:val="20"/>
          <w:szCs w:val="20"/>
        </w:rPr>
        <w:t>I</w:t>
      </w:r>
      <w:r w:rsidR="00913151" w:rsidRPr="00A524F4">
        <w:rPr>
          <w:rFonts w:asciiTheme="majorHAnsi" w:eastAsia="Times New Roman" w:hAnsiTheme="majorHAnsi"/>
          <w:b/>
          <w:sz w:val="20"/>
          <w:szCs w:val="20"/>
        </w:rPr>
        <w:t>n summary, we aim</w:t>
      </w:r>
      <w:r w:rsidRPr="00A524F4">
        <w:rPr>
          <w:rFonts w:asciiTheme="majorHAnsi" w:eastAsia="Times New Roman" w:hAnsiTheme="majorHAnsi"/>
          <w:b/>
          <w:sz w:val="20"/>
          <w:szCs w:val="20"/>
        </w:rPr>
        <w:t xml:space="preserve"> to </w:t>
      </w:r>
      <w:r w:rsidR="00417504" w:rsidRPr="00A524F4">
        <w:rPr>
          <w:rFonts w:asciiTheme="majorHAnsi" w:eastAsia="Times New Roman" w:hAnsiTheme="majorHAnsi"/>
          <w:b/>
          <w:sz w:val="20"/>
          <w:szCs w:val="20"/>
        </w:rPr>
        <w:t>audit</w:t>
      </w:r>
      <w:r w:rsidRPr="00A524F4">
        <w:rPr>
          <w:rFonts w:asciiTheme="majorHAnsi" w:eastAsia="Times New Roman" w:hAnsiTheme="majorHAnsi"/>
          <w:b/>
          <w:sz w:val="20"/>
          <w:szCs w:val="20"/>
        </w:rPr>
        <w:t xml:space="preserve"> the following</w:t>
      </w:r>
      <w:r w:rsidR="00270603" w:rsidRPr="00A524F4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="007A6FBA" w:rsidRPr="00A524F4">
        <w:rPr>
          <w:rFonts w:asciiTheme="majorHAnsi" w:eastAsia="Times New Roman" w:hAnsiTheme="majorHAnsi"/>
          <w:b/>
          <w:sz w:val="20"/>
          <w:szCs w:val="20"/>
        </w:rPr>
        <w:t>(based on guidelines above</w:t>
      </w:r>
      <w:r w:rsidRPr="00A524F4">
        <w:rPr>
          <w:rFonts w:asciiTheme="majorHAnsi" w:eastAsia="Times New Roman" w:hAnsiTheme="majorHAnsi"/>
          <w:b/>
          <w:sz w:val="20"/>
          <w:szCs w:val="20"/>
        </w:rPr>
        <w:t>):</w:t>
      </w:r>
    </w:p>
    <w:p w14:paraId="7CC99605" w14:textId="493561CC" w:rsidR="00E6062B" w:rsidRPr="007120FE" w:rsidRDefault="00E6062B" w:rsidP="00913151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7120FE">
        <w:rPr>
          <w:rFonts w:asciiTheme="majorHAnsi" w:eastAsia="Times New Roman" w:hAnsiTheme="majorHAnsi"/>
          <w:b/>
          <w:sz w:val="20"/>
          <w:szCs w:val="20"/>
        </w:rPr>
        <w:t xml:space="preserve">Percentage of </w:t>
      </w:r>
      <w:r w:rsidR="002063D2" w:rsidRPr="007120FE">
        <w:rPr>
          <w:rFonts w:asciiTheme="majorHAnsi" w:eastAsia="Times New Roman" w:hAnsiTheme="majorHAnsi"/>
          <w:b/>
          <w:sz w:val="20"/>
          <w:szCs w:val="20"/>
        </w:rPr>
        <w:t>patients</w:t>
      </w:r>
      <w:r w:rsidR="007A6FBA" w:rsidRPr="007120FE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Pr="007120FE">
        <w:rPr>
          <w:rFonts w:asciiTheme="majorHAnsi" w:eastAsia="Times New Roman" w:hAnsiTheme="majorHAnsi"/>
          <w:b/>
          <w:sz w:val="20"/>
          <w:szCs w:val="20"/>
        </w:rPr>
        <w:t xml:space="preserve">with cirrhosis and </w:t>
      </w:r>
      <w:r w:rsidR="002063D2" w:rsidRPr="007120FE">
        <w:rPr>
          <w:rFonts w:asciiTheme="majorHAnsi" w:eastAsia="Times New Roman" w:hAnsiTheme="majorHAnsi"/>
          <w:b/>
          <w:sz w:val="20"/>
          <w:szCs w:val="20"/>
        </w:rPr>
        <w:t xml:space="preserve">ascites </w:t>
      </w:r>
      <w:r w:rsidR="007A6FBA" w:rsidRPr="007120FE">
        <w:rPr>
          <w:rFonts w:asciiTheme="majorHAnsi" w:eastAsia="Times New Roman" w:hAnsiTheme="majorHAnsi"/>
          <w:b/>
          <w:sz w:val="20"/>
          <w:szCs w:val="20"/>
        </w:rPr>
        <w:t xml:space="preserve">who </w:t>
      </w:r>
      <w:r w:rsidR="002063D2" w:rsidRPr="007120FE">
        <w:rPr>
          <w:rFonts w:asciiTheme="majorHAnsi" w:eastAsia="Times New Roman" w:hAnsiTheme="majorHAnsi"/>
          <w:b/>
          <w:sz w:val="20"/>
          <w:szCs w:val="20"/>
        </w:rPr>
        <w:t xml:space="preserve">undergo diagnostic </w:t>
      </w:r>
      <w:proofErr w:type="spellStart"/>
      <w:r w:rsidR="002063D2" w:rsidRPr="007120FE">
        <w:rPr>
          <w:rFonts w:asciiTheme="majorHAnsi" w:eastAsia="Times New Roman" w:hAnsiTheme="majorHAnsi"/>
          <w:b/>
          <w:sz w:val="20"/>
          <w:szCs w:val="20"/>
        </w:rPr>
        <w:t>ascitic</w:t>
      </w:r>
      <w:proofErr w:type="spellEnd"/>
      <w:r w:rsidR="002063D2" w:rsidRPr="007120FE">
        <w:rPr>
          <w:rFonts w:asciiTheme="majorHAnsi" w:eastAsia="Times New Roman" w:hAnsiTheme="majorHAnsi"/>
          <w:b/>
          <w:sz w:val="20"/>
          <w:szCs w:val="20"/>
        </w:rPr>
        <w:t xml:space="preserve"> aspirate</w:t>
      </w:r>
    </w:p>
    <w:p w14:paraId="4CD0EC9E" w14:textId="257F4CB4" w:rsidR="00734B10" w:rsidRDefault="00734B10" w:rsidP="00734B1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>Overall percentage</w:t>
      </w:r>
    </w:p>
    <w:p w14:paraId="7F91A570" w14:textId="7FB1004A" w:rsidR="00E6062B" w:rsidRPr="00734B10" w:rsidRDefault="00974690" w:rsidP="00734B1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>Percentage performed w</w:t>
      </w:r>
      <w:r w:rsidR="007A6FBA" w:rsidRPr="00734B10">
        <w:rPr>
          <w:rFonts w:asciiTheme="majorHAnsi" w:eastAsia="Times New Roman" w:hAnsiTheme="majorHAnsi"/>
          <w:sz w:val="20"/>
          <w:szCs w:val="20"/>
        </w:rPr>
        <w:t>ithin 24 hours</w:t>
      </w:r>
      <w:r w:rsidR="00E6062B" w:rsidRPr="00734B10">
        <w:rPr>
          <w:rFonts w:asciiTheme="majorHAnsi" w:eastAsia="Times New Roman" w:hAnsi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/>
          <w:sz w:val="20"/>
          <w:szCs w:val="20"/>
        </w:rPr>
        <w:t xml:space="preserve">of admission </w:t>
      </w:r>
      <w:r w:rsidR="00E6062B" w:rsidRPr="00734B10">
        <w:rPr>
          <w:rFonts w:asciiTheme="majorHAnsi" w:eastAsia="Times New Roman" w:hAnsiTheme="majorHAnsi"/>
          <w:sz w:val="20"/>
          <w:szCs w:val="20"/>
        </w:rPr>
        <w:t>(BSG/BASL standard)</w:t>
      </w:r>
    </w:p>
    <w:p w14:paraId="45119287" w14:textId="77777777" w:rsidR="00E6062B" w:rsidRPr="00E6062B" w:rsidRDefault="00E6062B" w:rsidP="00E6062B">
      <w:pPr>
        <w:spacing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29FA8F92" w14:textId="77777777" w:rsidR="007A6FBA" w:rsidRPr="007120FE" w:rsidRDefault="00270603" w:rsidP="00E6062B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7120FE">
        <w:rPr>
          <w:rFonts w:asciiTheme="majorHAnsi" w:eastAsia="Times New Roman" w:hAnsiTheme="majorHAnsi"/>
          <w:b/>
          <w:sz w:val="20"/>
          <w:szCs w:val="20"/>
        </w:rPr>
        <w:lastRenderedPageBreak/>
        <w:t xml:space="preserve">Management of SBP </w:t>
      </w:r>
    </w:p>
    <w:p w14:paraId="3C6B53D0" w14:textId="13C413CA" w:rsidR="007A6FBA" w:rsidRPr="00913151" w:rsidRDefault="007A6FBA" w:rsidP="00E6062B">
      <w:pPr>
        <w:pStyle w:val="ListParagraph"/>
        <w:numPr>
          <w:ilvl w:val="1"/>
          <w:numId w:val="19"/>
        </w:numPr>
        <w:spacing w:line="360" w:lineRule="auto"/>
        <w:ind w:left="1080"/>
        <w:jc w:val="both"/>
        <w:rPr>
          <w:rFonts w:asciiTheme="majorHAnsi" w:eastAsia="Times New Roman" w:hAnsiTheme="majorHAnsi"/>
          <w:sz w:val="20"/>
          <w:szCs w:val="20"/>
        </w:rPr>
      </w:pPr>
      <w:r w:rsidRPr="00913151">
        <w:rPr>
          <w:rFonts w:asciiTheme="majorHAnsi" w:eastAsia="Times New Roman" w:hAnsiTheme="majorHAnsi"/>
          <w:sz w:val="20"/>
          <w:szCs w:val="20"/>
        </w:rPr>
        <w:t>Antibiotics acutely</w:t>
      </w:r>
    </w:p>
    <w:p w14:paraId="153F9564" w14:textId="1763B6FC" w:rsidR="007A6FBA" w:rsidRDefault="007A6FBA" w:rsidP="00E6062B">
      <w:pPr>
        <w:pStyle w:val="ListParagraph"/>
        <w:numPr>
          <w:ilvl w:val="1"/>
          <w:numId w:val="19"/>
        </w:numPr>
        <w:spacing w:line="360" w:lineRule="auto"/>
        <w:ind w:left="1080"/>
        <w:jc w:val="both"/>
        <w:rPr>
          <w:rFonts w:asciiTheme="majorHAnsi" w:eastAsia="Times New Roman" w:hAnsiTheme="majorHAnsi"/>
          <w:sz w:val="20"/>
          <w:szCs w:val="20"/>
        </w:rPr>
      </w:pPr>
      <w:r w:rsidRPr="00913151">
        <w:rPr>
          <w:rFonts w:asciiTheme="majorHAnsi" w:eastAsia="Times New Roman" w:hAnsiTheme="majorHAnsi"/>
          <w:sz w:val="20"/>
          <w:szCs w:val="20"/>
        </w:rPr>
        <w:t>Day 1</w:t>
      </w:r>
      <w:r w:rsidR="00270603" w:rsidRPr="00913151">
        <w:rPr>
          <w:rFonts w:asciiTheme="majorHAnsi" w:eastAsia="Times New Roman" w:hAnsiTheme="majorHAnsi"/>
          <w:sz w:val="20"/>
          <w:szCs w:val="20"/>
        </w:rPr>
        <w:t xml:space="preserve"> </w:t>
      </w:r>
      <w:r w:rsidR="00E6062B">
        <w:rPr>
          <w:rFonts w:asciiTheme="majorHAnsi" w:eastAsia="Times New Roman" w:hAnsiTheme="majorHAnsi"/>
          <w:sz w:val="20"/>
          <w:szCs w:val="20"/>
        </w:rPr>
        <w:t xml:space="preserve">(1.5g/kg) </w:t>
      </w:r>
      <w:r w:rsidR="00270603" w:rsidRPr="00913151">
        <w:rPr>
          <w:rFonts w:asciiTheme="majorHAnsi" w:eastAsia="Times New Roman" w:hAnsiTheme="majorHAnsi"/>
          <w:sz w:val="20"/>
          <w:szCs w:val="20"/>
        </w:rPr>
        <w:t xml:space="preserve">and Day 3 </w:t>
      </w:r>
      <w:r w:rsidRPr="00913151">
        <w:rPr>
          <w:rFonts w:asciiTheme="majorHAnsi" w:eastAsia="Times New Roman" w:hAnsiTheme="majorHAnsi"/>
          <w:sz w:val="20"/>
          <w:szCs w:val="20"/>
        </w:rPr>
        <w:t xml:space="preserve">HAS </w:t>
      </w:r>
      <w:r w:rsidR="00E6062B">
        <w:rPr>
          <w:rFonts w:asciiTheme="majorHAnsi" w:eastAsia="Times New Roman" w:hAnsiTheme="majorHAnsi"/>
          <w:sz w:val="20"/>
          <w:szCs w:val="20"/>
        </w:rPr>
        <w:t>(1g/kg)</w:t>
      </w:r>
    </w:p>
    <w:p w14:paraId="10BFA76E" w14:textId="3A90345B" w:rsidR="00E6062B" w:rsidRPr="00913151" w:rsidRDefault="00E6062B" w:rsidP="00E6062B">
      <w:pPr>
        <w:pStyle w:val="ListParagraph"/>
        <w:numPr>
          <w:ilvl w:val="1"/>
          <w:numId w:val="19"/>
        </w:numPr>
        <w:spacing w:line="360" w:lineRule="auto"/>
        <w:ind w:left="1080"/>
        <w:jc w:val="both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 xml:space="preserve">Repeat </w:t>
      </w:r>
      <w:proofErr w:type="spellStart"/>
      <w:r>
        <w:rPr>
          <w:rFonts w:asciiTheme="majorHAnsi" w:eastAsia="Times New Roman" w:hAnsiTheme="majorHAnsi"/>
          <w:sz w:val="20"/>
          <w:szCs w:val="20"/>
        </w:rPr>
        <w:t>ascitic</w:t>
      </w:r>
      <w:proofErr w:type="spellEnd"/>
      <w:r>
        <w:rPr>
          <w:rFonts w:asciiTheme="majorHAnsi" w:eastAsia="Times New Roman" w:hAnsiTheme="majorHAnsi"/>
          <w:sz w:val="20"/>
          <w:szCs w:val="20"/>
        </w:rPr>
        <w:t xml:space="preserve"> tap and cultures to assess for resolution</w:t>
      </w:r>
    </w:p>
    <w:p w14:paraId="67C828D0" w14:textId="7DD489DD" w:rsidR="00E6062B" w:rsidRPr="007120FE" w:rsidRDefault="007A6FBA" w:rsidP="00E6062B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7120FE">
        <w:rPr>
          <w:rFonts w:asciiTheme="majorHAnsi" w:eastAsia="Times New Roman" w:hAnsiTheme="majorHAnsi"/>
          <w:b/>
          <w:sz w:val="20"/>
          <w:szCs w:val="20"/>
        </w:rPr>
        <w:t xml:space="preserve">Primary prophylaxis in patients with </w:t>
      </w:r>
      <w:proofErr w:type="spellStart"/>
      <w:r w:rsidRPr="007120FE">
        <w:rPr>
          <w:rFonts w:asciiTheme="majorHAnsi" w:eastAsia="Times New Roman" w:hAnsiTheme="majorHAnsi"/>
          <w:b/>
          <w:sz w:val="20"/>
          <w:szCs w:val="20"/>
        </w:rPr>
        <w:t>ascitic</w:t>
      </w:r>
      <w:proofErr w:type="spellEnd"/>
      <w:r w:rsidRPr="007120FE">
        <w:rPr>
          <w:rFonts w:asciiTheme="majorHAnsi" w:eastAsia="Times New Roman" w:hAnsiTheme="majorHAnsi"/>
          <w:b/>
          <w:sz w:val="20"/>
          <w:szCs w:val="20"/>
        </w:rPr>
        <w:t xml:space="preserve"> protein &lt;15g/L.</w:t>
      </w:r>
    </w:p>
    <w:p w14:paraId="44339CC6" w14:textId="77777777" w:rsidR="00417504" w:rsidRPr="007120FE" w:rsidRDefault="00E6062B" w:rsidP="00417504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7120FE">
        <w:rPr>
          <w:rFonts w:asciiTheme="majorHAnsi" w:eastAsia="Times New Roman" w:hAnsiTheme="majorHAnsi"/>
          <w:b/>
          <w:sz w:val="20"/>
          <w:szCs w:val="20"/>
        </w:rPr>
        <w:t>Secondary prophylaxis</w:t>
      </w:r>
    </w:p>
    <w:p w14:paraId="250A4812" w14:textId="4EB57830" w:rsidR="0000660D" w:rsidRPr="007120FE" w:rsidRDefault="00417504" w:rsidP="00417504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7120FE">
        <w:rPr>
          <w:rFonts w:asciiTheme="majorHAnsi" w:eastAsia="Times New Roman" w:hAnsiTheme="majorHAnsi"/>
          <w:b/>
          <w:sz w:val="20"/>
          <w:szCs w:val="20"/>
        </w:rPr>
        <w:t xml:space="preserve">Whether concordance with </w:t>
      </w:r>
      <w:r w:rsidR="007120FE">
        <w:rPr>
          <w:rFonts w:asciiTheme="majorHAnsi" w:eastAsia="Times New Roman" w:hAnsiTheme="majorHAnsi"/>
          <w:b/>
          <w:sz w:val="20"/>
          <w:szCs w:val="20"/>
        </w:rPr>
        <w:t>guidelines</w:t>
      </w:r>
      <w:r w:rsidRPr="007120FE">
        <w:rPr>
          <w:rFonts w:asciiTheme="majorHAnsi" w:eastAsia="Times New Roman" w:hAnsiTheme="majorHAnsi"/>
          <w:b/>
          <w:sz w:val="20"/>
          <w:szCs w:val="20"/>
        </w:rPr>
        <w:t xml:space="preserve"> affected </w:t>
      </w:r>
      <w:r w:rsidR="00DD72C9" w:rsidRPr="007120FE">
        <w:rPr>
          <w:rFonts w:asciiTheme="majorHAnsi" w:eastAsia="Times New Roman" w:hAnsiTheme="majorHAnsi"/>
          <w:b/>
          <w:sz w:val="20"/>
          <w:szCs w:val="20"/>
        </w:rPr>
        <w:t xml:space="preserve">hospital readmissions, </w:t>
      </w:r>
      <w:r w:rsidR="00F868E1" w:rsidRPr="007120FE">
        <w:rPr>
          <w:b/>
          <w:sz w:val="20"/>
          <w:szCs w:val="20"/>
        </w:rPr>
        <w:t>SBP</w:t>
      </w:r>
      <w:r w:rsidR="0000660D" w:rsidRPr="007120FE">
        <w:rPr>
          <w:b/>
          <w:sz w:val="20"/>
          <w:szCs w:val="20"/>
        </w:rPr>
        <w:t xml:space="preserve"> recurrence </w:t>
      </w:r>
      <w:r w:rsidRPr="007120FE">
        <w:rPr>
          <w:b/>
          <w:sz w:val="20"/>
          <w:szCs w:val="20"/>
        </w:rPr>
        <w:t>and m</w:t>
      </w:r>
      <w:r w:rsidR="0000660D" w:rsidRPr="007120FE">
        <w:rPr>
          <w:b/>
          <w:sz w:val="20"/>
          <w:szCs w:val="20"/>
        </w:rPr>
        <w:t>ortality</w:t>
      </w:r>
      <w:r w:rsidR="00DD72C9" w:rsidRPr="007120FE">
        <w:rPr>
          <w:b/>
          <w:sz w:val="20"/>
          <w:szCs w:val="20"/>
        </w:rPr>
        <w:t xml:space="preserve"> </w:t>
      </w:r>
    </w:p>
    <w:p w14:paraId="3F0975A4" w14:textId="77777777" w:rsidR="002063D2" w:rsidRDefault="002063D2" w:rsidP="00F9718B">
      <w:pPr>
        <w:pBdr>
          <w:bottom w:val="single" w:sz="4" w:space="1" w:color="auto"/>
        </w:pBdr>
        <w:rPr>
          <w:b/>
          <w:smallCaps/>
          <w:sz w:val="28"/>
          <w:szCs w:val="28"/>
        </w:rPr>
      </w:pPr>
    </w:p>
    <w:p w14:paraId="5A54143B" w14:textId="77777777" w:rsidR="00A46C45" w:rsidRPr="00913151" w:rsidRDefault="00A46C45" w:rsidP="00F9718B">
      <w:pPr>
        <w:pBdr>
          <w:bottom w:val="single" w:sz="4" w:space="1" w:color="auto"/>
        </w:pBdr>
        <w:rPr>
          <w:b/>
          <w:smallCaps/>
          <w:sz w:val="20"/>
          <w:szCs w:val="20"/>
        </w:rPr>
      </w:pPr>
      <w:r w:rsidRPr="00913151">
        <w:rPr>
          <w:b/>
          <w:smallCaps/>
          <w:sz w:val="20"/>
          <w:szCs w:val="20"/>
        </w:rPr>
        <w:t>Methodology</w:t>
      </w:r>
    </w:p>
    <w:p w14:paraId="6641F02E" w14:textId="636999E1" w:rsidR="003E51D7" w:rsidRPr="00913151" w:rsidRDefault="006429D2" w:rsidP="00913151">
      <w:pPr>
        <w:numPr>
          <w:ilvl w:val="0"/>
          <w:numId w:val="1"/>
        </w:numPr>
        <w:ind w:left="360"/>
        <w:rPr>
          <w:sz w:val="20"/>
          <w:szCs w:val="20"/>
        </w:rPr>
      </w:pPr>
      <w:r w:rsidRPr="00913151">
        <w:rPr>
          <w:sz w:val="20"/>
          <w:szCs w:val="20"/>
        </w:rPr>
        <w:t>Target population</w:t>
      </w:r>
      <w:r w:rsidR="00980F40" w:rsidRPr="00913151">
        <w:rPr>
          <w:sz w:val="20"/>
          <w:szCs w:val="20"/>
        </w:rPr>
        <w:t xml:space="preserve">: </w:t>
      </w:r>
      <w:r w:rsidR="002063D2" w:rsidRPr="00913151">
        <w:rPr>
          <w:sz w:val="20"/>
          <w:szCs w:val="20"/>
        </w:rPr>
        <w:t xml:space="preserve">All patients </w:t>
      </w:r>
      <w:r w:rsidR="0063138C" w:rsidRPr="00913151">
        <w:rPr>
          <w:sz w:val="20"/>
          <w:szCs w:val="20"/>
        </w:rPr>
        <w:t xml:space="preserve">with confirmed cirrhosis </w:t>
      </w:r>
      <w:r w:rsidR="0021518E" w:rsidRPr="00913151">
        <w:rPr>
          <w:sz w:val="20"/>
          <w:szCs w:val="20"/>
        </w:rPr>
        <w:t xml:space="preserve">(ICD-10 codes: </w:t>
      </w:r>
      <w:r w:rsidR="0021518E" w:rsidRPr="00913151">
        <w:rPr>
          <w:b/>
          <w:sz w:val="20"/>
          <w:szCs w:val="20"/>
        </w:rPr>
        <w:t>K70, K71.7, K72.1, K73, K74, K75.4</w:t>
      </w:r>
      <w:r w:rsidR="0021518E" w:rsidRPr="00913151">
        <w:rPr>
          <w:sz w:val="20"/>
          <w:szCs w:val="20"/>
        </w:rPr>
        <w:t xml:space="preserve">) </w:t>
      </w:r>
      <w:r w:rsidR="0021518E" w:rsidRPr="00913151">
        <w:rPr>
          <w:i/>
          <w:sz w:val="20"/>
          <w:szCs w:val="20"/>
        </w:rPr>
        <w:t>AND</w:t>
      </w:r>
      <w:r w:rsidR="001F1EFE" w:rsidRPr="00913151">
        <w:rPr>
          <w:i/>
          <w:sz w:val="20"/>
          <w:szCs w:val="20"/>
        </w:rPr>
        <w:t xml:space="preserve"> </w:t>
      </w:r>
      <w:r w:rsidR="001F1EFE" w:rsidRPr="00913151">
        <w:rPr>
          <w:sz w:val="20"/>
          <w:szCs w:val="20"/>
        </w:rPr>
        <w:t>ascites (</w:t>
      </w:r>
      <w:r w:rsidR="001F1EFE" w:rsidRPr="00913151">
        <w:rPr>
          <w:b/>
          <w:sz w:val="20"/>
          <w:szCs w:val="20"/>
        </w:rPr>
        <w:t>R18</w:t>
      </w:r>
      <w:r w:rsidR="001F1EFE" w:rsidRPr="00913151">
        <w:rPr>
          <w:sz w:val="20"/>
          <w:szCs w:val="20"/>
        </w:rPr>
        <w:t>)</w:t>
      </w:r>
      <w:r w:rsidR="004A2796" w:rsidRPr="00913151">
        <w:rPr>
          <w:sz w:val="20"/>
          <w:szCs w:val="20"/>
        </w:rPr>
        <w:t>.</w:t>
      </w:r>
    </w:p>
    <w:p w14:paraId="65412779" w14:textId="63301DCA" w:rsidR="004A2796" w:rsidRPr="00913151" w:rsidRDefault="004A2796" w:rsidP="00E6062B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913151">
        <w:rPr>
          <w:sz w:val="20"/>
          <w:szCs w:val="20"/>
        </w:rPr>
        <w:t xml:space="preserve">Feasibility assessment: </w:t>
      </w:r>
      <w:r w:rsidR="00A00908" w:rsidRPr="00913151">
        <w:rPr>
          <w:sz w:val="20"/>
          <w:szCs w:val="20"/>
        </w:rPr>
        <w:t xml:space="preserve">Please check with informatics/audit office if patients with above codes can be identified. Sites should have electronic access to clinical notes, outpatient letters, </w:t>
      </w:r>
      <w:proofErr w:type="spellStart"/>
      <w:r w:rsidR="00A00908" w:rsidRPr="00913151">
        <w:rPr>
          <w:sz w:val="20"/>
          <w:szCs w:val="20"/>
        </w:rPr>
        <w:t>ascitic</w:t>
      </w:r>
      <w:proofErr w:type="spellEnd"/>
      <w:r w:rsidR="00A00908" w:rsidRPr="00913151">
        <w:rPr>
          <w:sz w:val="20"/>
          <w:szCs w:val="20"/>
        </w:rPr>
        <w:t xml:space="preserve"> biochemistry, </w:t>
      </w:r>
      <w:r w:rsidR="006D0137" w:rsidRPr="00913151">
        <w:rPr>
          <w:sz w:val="20"/>
          <w:szCs w:val="20"/>
        </w:rPr>
        <w:t xml:space="preserve">treatment chart (documenting </w:t>
      </w:r>
      <w:proofErr w:type="spellStart"/>
      <w:r w:rsidR="006D0137" w:rsidRPr="00913151">
        <w:rPr>
          <w:sz w:val="20"/>
          <w:szCs w:val="20"/>
        </w:rPr>
        <w:t>Abx</w:t>
      </w:r>
      <w:proofErr w:type="spellEnd"/>
      <w:r w:rsidR="006D0137" w:rsidRPr="00913151">
        <w:rPr>
          <w:sz w:val="20"/>
          <w:szCs w:val="20"/>
        </w:rPr>
        <w:t xml:space="preserve"> and HAS cover) </w:t>
      </w:r>
      <w:r w:rsidR="00A00908" w:rsidRPr="00913151">
        <w:rPr>
          <w:sz w:val="20"/>
          <w:szCs w:val="20"/>
        </w:rPr>
        <w:t xml:space="preserve">and mortality </w:t>
      </w:r>
      <w:r w:rsidR="006D0137" w:rsidRPr="00913151">
        <w:rPr>
          <w:sz w:val="20"/>
          <w:szCs w:val="20"/>
        </w:rPr>
        <w:t>details.</w:t>
      </w:r>
      <w:r w:rsidR="002C31B1" w:rsidRPr="00913151">
        <w:rPr>
          <w:sz w:val="20"/>
          <w:szCs w:val="20"/>
        </w:rPr>
        <w:t xml:space="preserve">  Individual sites may wish to expand on this to audit BSG/BASL bundle of care – please let us know if this is the case.</w:t>
      </w:r>
    </w:p>
    <w:p w14:paraId="1698BE00" w14:textId="77777777" w:rsidR="00E4686C" w:rsidRPr="00913151" w:rsidRDefault="00B77225" w:rsidP="00913151">
      <w:pPr>
        <w:numPr>
          <w:ilvl w:val="0"/>
          <w:numId w:val="1"/>
        </w:numPr>
        <w:ind w:left="360"/>
        <w:rPr>
          <w:sz w:val="20"/>
          <w:szCs w:val="20"/>
        </w:rPr>
      </w:pPr>
      <w:r w:rsidRPr="00913151">
        <w:rPr>
          <w:sz w:val="20"/>
          <w:szCs w:val="20"/>
        </w:rPr>
        <w:t>Exclusion criteria</w:t>
      </w:r>
      <w:r w:rsidR="00980F40" w:rsidRPr="00913151">
        <w:rPr>
          <w:sz w:val="20"/>
          <w:szCs w:val="20"/>
        </w:rPr>
        <w:t xml:space="preserve">: </w:t>
      </w:r>
    </w:p>
    <w:p w14:paraId="7CBDB786" w14:textId="77777777" w:rsidR="00E4686C" w:rsidRPr="00913151" w:rsidRDefault="00101B7B" w:rsidP="00913151">
      <w:pPr>
        <w:numPr>
          <w:ilvl w:val="1"/>
          <w:numId w:val="1"/>
        </w:numPr>
        <w:ind w:left="1080"/>
        <w:rPr>
          <w:sz w:val="20"/>
          <w:szCs w:val="20"/>
        </w:rPr>
      </w:pPr>
      <w:proofErr w:type="spellStart"/>
      <w:r w:rsidRPr="00913151">
        <w:rPr>
          <w:sz w:val="20"/>
          <w:szCs w:val="20"/>
        </w:rPr>
        <w:t>Age</w:t>
      </w:r>
      <w:proofErr w:type="spellEnd"/>
      <w:r w:rsidRPr="00913151">
        <w:rPr>
          <w:sz w:val="20"/>
          <w:szCs w:val="20"/>
        </w:rPr>
        <w:t xml:space="preserve"> &lt;18</w:t>
      </w:r>
    </w:p>
    <w:p w14:paraId="2D658A54" w14:textId="20E0D81B" w:rsidR="00E4138B" w:rsidRPr="00913151" w:rsidRDefault="00A50C05" w:rsidP="00913151">
      <w:pPr>
        <w:numPr>
          <w:ilvl w:val="1"/>
          <w:numId w:val="1"/>
        </w:numPr>
        <w:ind w:left="1080"/>
        <w:rPr>
          <w:sz w:val="20"/>
          <w:szCs w:val="20"/>
        </w:rPr>
      </w:pPr>
      <w:r w:rsidRPr="00913151">
        <w:rPr>
          <w:sz w:val="20"/>
          <w:szCs w:val="20"/>
        </w:rPr>
        <w:t xml:space="preserve">Patients </w:t>
      </w:r>
      <w:r w:rsidR="006E745A" w:rsidRPr="00913151">
        <w:rPr>
          <w:sz w:val="20"/>
          <w:szCs w:val="20"/>
        </w:rPr>
        <w:t>on</w:t>
      </w:r>
      <w:r w:rsidRPr="00913151">
        <w:rPr>
          <w:sz w:val="20"/>
          <w:szCs w:val="20"/>
        </w:rPr>
        <w:t xml:space="preserve"> end of life (palliative) </w:t>
      </w:r>
      <w:r w:rsidR="006E745A" w:rsidRPr="00913151">
        <w:rPr>
          <w:sz w:val="20"/>
          <w:szCs w:val="20"/>
        </w:rPr>
        <w:t>care</w:t>
      </w:r>
    </w:p>
    <w:p w14:paraId="2A1D40D1" w14:textId="2442B767" w:rsidR="00AA4EE3" w:rsidRPr="00913151" w:rsidRDefault="00AA4EE3" w:rsidP="00913151">
      <w:pPr>
        <w:numPr>
          <w:ilvl w:val="1"/>
          <w:numId w:val="1"/>
        </w:numPr>
        <w:ind w:left="1080"/>
        <w:rPr>
          <w:sz w:val="20"/>
          <w:szCs w:val="20"/>
        </w:rPr>
      </w:pPr>
      <w:r w:rsidRPr="00913151">
        <w:rPr>
          <w:sz w:val="20"/>
          <w:szCs w:val="20"/>
        </w:rPr>
        <w:t>Malignant ascites (hence the above ICD-10 code</w:t>
      </w:r>
      <w:r w:rsidR="00364C7C">
        <w:rPr>
          <w:sz w:val="20"/>
          <w:szCs w:val="20"/>
        </w:rPr>
        <w:t>s</w:t>
      </w:r>
      <w:r w:rsidRPr="00913151">
        <w:rPr>
          <w:sz w:val="20"/>
          <w:szCs w:val="20"/>
        </w:rPr>
        <w:t>)</w:t>
      </w:r>
    </w:p>
    <w:p w14:paraId="49257A6A" w14:textId="69A65C85" w:rsidR="006429D2" w:rsidRPr="002C7EF6" w:rsidRDefault="006429D2" w:rsidP="00913151">
      <w:pPr>
        <w:numPr>
          <w:ilvl w:val="0"/>
          <w:numId w:val="1"/>
        </w:numPr>
        <w:ind w:left="360"/>
        <w:rPr>
          <w:sz w:val="20"/>
          <w:szCs w:val="20"/>
        </w:rPr>
      </w:pPr>
      <w:r w:rsidRPr="00913151">
        <w:rPr>
          <w:sz w:val="20"/>
          <w:szCs w:val="20"/>
        </w:rPr>
        <w:t>Timeline</w:t>
      </w:r>
      <w:r w:rsidR="00101B7B" w:rsidRPr="00913151">
        <w:rPr>
          <w:sz w:val="20"/>
          <w:szCs w:val="20"/>
        </w:rPr>
        <w:t xml:space="preserve">: </w:t>
      </w:r>
      <w:r w:rsidR="001204C4">
        <w:rPr>
          <w:b/>
          <w:sz w:val="20"/>
          <w:szCs w:val="20"/>
        </w:rPr>
        <w:t>Retrospective patient identification (</w:t>
      </w:r>
      <w:r w:rsidR="00BD7C04">
        <w:rPr>
          <w:b/>
          <w:sz w:val="20"/>
          <w:szCs w:val="20"/>
        </w:rPr>
        <w:t>a</w:t>
      </w:r>
      <w:r w:rsidR="00B36853">
        <w:rPr>
          <w:b/>
          <w:sz w:val="20"/>
          <w:szCs w:val="20"/>
        </w:rPr>
        <w:t xml:space="preserve">dmitted </w:t>
      </w:r>
      <w:r w:rsidR="002C7EF6">
        <w:rPr>
          <w:b/>
          <w:sz w:val="20"/>
          <w:szCs w:val="20"/>
        </w:rPr>
        <w:t xml:space="preserve">in the 3 months </w:t>
      </w:r>
      <w:r w:rsidR="00B36853">
        <w:rPr>
          <w:b/>
          <w:sz w:val="20"/>
          <w:szCs w:val="20"/>
        </w:rPr>
        <w:t xml:space="preserve">between </w:t>
      </w:r>
      <w:r w:rsidR="001204C4">
        <w:rPr>
          <w:b/>
          <w:sz w:val="20"/>
          <w:szCs w:val="20"/>
        </w:rPr>
        <w:t>1</w:t>
      </w:r>
      <w:r w:rsidR="001204C4" w:rsidRPr="001204C4">
        <w:rPr>
          <w:b/>
          <w:sz w:val="20"/>
          <w:szCs w:val="20"/>
          <w:vertAlign w:val="superscript"/>
        </w:rPr>
        <w:t>st</w:t>
      </w:r>
      <w:r w:rsidR="001204C4">
        <w:rPr>
          <w:b/>
          <w:sz w:val="20"/>
          <w:szCs w:val="20"/>
        </w:rPr>
        <w:t xml:space="preserve"> </w:t>
      </w:r>
      <w:r w:rsidR="00B36853">
        <w:rPr>
          <w:b/>
          <w:sz w:val="20"/>
          <w:szCs w:val="20"/>
        </w:rPr>
        <w:t>September</w:t>
      </w:r>
      <w:r w:rsidR="001204C4">
        <w:rPr>
          <w:b/>
          <w:sz w:val="20"/>
          <w:szCs w:val="20"/>
        </w:rPr>
        <w:t xml:space="preserve"> 2016 </w:t>
      </w:r>
      <w:r w:rsidR="00B36853">
        <w:rPr>
          <w:b/>
          <w:sz w:val="20"/>
          <w:szCs w:val="20"/>
        </w:rPr>
        <w:t>to 1</w:t>
      </w:r>
      <w:r w:rsidR="00B36853" w:rsidRPr="00B36853">
        <w:rPr>
          <w:b/>
          <w:sz w:val="20"/>
          <w:szCs w:val="20"/>
          <w:vertAlign w:val="superscript"/>
        </w:rPr>
        <w:t>st</w:t>
      </w:r>
      <w:r w:rsidR="00B36853">
        <w:rPr>
          <w:b/>
          <w:sz w:val="20"/>
          <w:szCs w:val="20"/>
        </w:rPr>
        <w:t xml:space="preserve"> December 2016), with retrospective follow-up until 1</w:t>
      </w:r>
      <w:r w:rsidR="00B36853" w:rsidRPr="00B36853">
        <w:rPr>
          <w:b/>
          <w:sz w:val="20"/>
          <w:szCs w:val="20"/>
          <w:vertAlign w:val="superscript"/>
        </w:rPr>
        <w:t>st</w:t>
      </w:r>
      <w:r w:rsidR="00B36853">
        <w:rPr>
          <w:b/>
          <w:sz w:val="20"/>
          <w:szCs w:val="20"/>
        </w:rPr>
        <w:t xml:space="preserve"> March 2017 (all patients will have 3-6 months of follow-up)</w:t>
      </w:r>
      <w:r w:rsidR="00BD7C04">
        <w:rPr>
          <w:b/>
          <w:sz w:val="20"/>
          <w:szCs w:val="20"/>
        </w:rPr>
        <w:t>.</w:t>
      </w:r>
    </w:p>
    <w:p w14:paraId="4BA834E8" w14:textId="5A11606A" w:rsidR="002C7EF6" w:rsidRPr="002C7EF6" w:rsidRDefault="002C7EF6" w:rsidP="002C7EF6">
      <w:pPr>
        <w:numPr>
          <w:ilvl w:val="0"/>
          <w:numId w:val="1"/>
        </w:numPr>
        <w:ind w:left="360"/>
        <w:rPr>
          <w:sz w:val="20"/>
          <w:szCs w:val="20"/>
        </w:rPr>
      </w:pPr>
      <w:bookmarkStart w:id="0" w:name="_GoBack"/>
      <w:r>
        <w:rPr>
          <w:b/>
          <w:sz w:val="20"/>
          <w:szCs w:val="20"/>
        </w:rPr>
        <w:t xml:space="preserve">Power calculation: </w:t>
      </w:r>
      <w:r>
        <w:rPr>
          <w:sz w:val="20"/>
          <w:szCs w:val="20"/>
        </w:rPr>
        <w:t xml:space="preserve"> </w:t>
      </w:r>
      <w:r w:rsidRPr="002C7EF6">
        <w:rPr>
          <w:b/>
          <w:sz w:val="20"/>
          <w:szCs w:val="20"/>
        </w:rPr>
        <w:t xml:space="preserve">Assuming hospitalisation </w:t>
      </w:r>
      <w:r>
        <w:rPr>
          <w:b/>
          <w:sz w:val="20"/>
          <w:szCs w:val="20"/>
        </w:rPr>
        <w:t>incidence</w:t>
      </w:r>
      <w:r w:rsidRPr="002C7EF6">
        <w:rPr>
          <w:b/>
          <w:sz w:val="20"/>
          <w:szCs w:val="20"/>
        </w:rPr>
        <w:t xml:space="preserve"> of ALD with ascites of 50-100/100,000 per year,</w:t>
      </w:r>
      <w:r w:rsidR="00B62AE3" w:rsidRPr="00B62AE3">
        <w:rPr>
          <w:b/>
          <w:sz w:val="20"/>
          <w:szCs w:val="20"/>
          <w:vertAlign w:val="superscript"/>
        </w:rPr>
        <w:t>8</w:t>
      </w:r>
      <w:r w:rsidRPr="002C7EF6">
        <w:rPr>
          <w:b/>
          <w:sz w:val="20"/>
          <w:szCs w:val="20"/>
        </w:rPr>
        <w:t xml:space="preserve"> </w:t>
      </w:r>
      <w:r w:rsidR="00B62AE3">
        <w:rPr>
          <w:b/>
          <w:sz w:val="20"/>
          <w:szCs w:val="20"/>
        </w:rPr>
        <w:t>and 10-30%</w:t>
      </w:r>
      <w:r w:rsidRPr="002C7EF6">
        <w:rPr>
          <w:b/>
          <w:sz w:val="20"/>
          <w:szCs w:val="20"/>
        </w:rPr>
        <w:t xml:space="preserve"> SBP rate, a DGH of 300,000 population will have approx. 37-75 patients over the 3 </w:t>
      </w:r>
      <w:proofErr w:type="spellStart"/>
      <w:proofErr w:type="gramStart"/>
      <w:r w:rsidRPr="002C7EF6">
        <w:rPr>
          <w:b/>
          <w:sz w:val="20"/>
          <w:szCs w:val="20"/>
        </w:rPr>
        <w:t>months</w:t>
      </w:r>
      <w:proofErr w:type="spellEnd"/>
      <w:proofErr w:type="gramEnd"/>
      <w:r w:rsidRPr="002C7EF6">
        <w:rPr>
          <w:b/>
          <w:sz w:val="20"/>
          <w:szCs w:val="20"/>
        </w:rPr>
        <w:t xml:space="preserve"> timeline</w:t>
      </w:r>
      <w:r w:rsidR="0085283F">
        <w:rPr>
          <w:b/>
          <w:sz w:val="20"/>
          <w:szCs w:val="20"/>
        </w:rPr>
        <w:t>.</w:t>
      </w:r>
    </w:p>
    <w:bookmarkEnd w:id="0"/>
    <w:p w14:paraId="38D3417E" w14:textId="6BC92C53" w:rsidR="00371FE5" w:rsidRPr="00913151" w:rsidRDefault="006429D2" w:rsidP="00913151">
      <w:pPr>
        <w:numPr>
          <w:ilvl w:val="0"/>
          <w:numId w:val="1"/>
        </w:numPr>
        <w:ind w:left="360"/>
        <w:rPr>
          <w:sz w:val="20"/>
          <w:szCs w:val="20"/>
        </w:rPr>
      </w:pPr>
      <w:r w:rsidRPr="00913151">
        <w:rPr>
          <w:sz w:val="20"/>
          <w:szCs w:val="20"/>
        </w:rPr>
        <w:t xml:space="preserve">Audit type: </w:t>
      </w:r>
      <w:r w:rsidR="00364C7C">
        <w:rPr>
          <w:sz w:val="20"/>
          <w:szCs w:val="20"/>
        </w:rPr>
        <w:t>Prospective</w:t>
      </w:r>
      <w:r w:rsidR="00410336" w:rsidRPr="00913151">
        <w:rPr>
          <w:sz w:val="20"/>
          <w:szCs w:val="20"/>
        </w:rPr>
        <w:t xml:space="preserve"> </w:t>
      </w:r>
      <w:r w:rsidR="00E4686C" w:rsidRPr="00913151">
        <w:rPr>
          <w:sz w:val="20"/>
          <w:szCs w:val="20"/>
        </w:rPr>
        <w:t>case series</w:t>
      </w:r>
      <w:r w:rsidR="00E4138B" w:rsidRPr="00913151">
        <w:rPr>
          <w:sz w:val="20"/>
          <w:szCs w:val="20"/>
        </w:rPr>
        <w:t xml:space="preserve"> </w:t>
      </w:r>
      <w:r w:rsidR="005A3D26">
        <w:rPr>
          <w:sz w:val="20"/>
          <w:szCs w:val="20"/>
        </w:rPr>
        <w:t xml:space="preserve">with </w:t>
      </w:r>
      <w:r w:rsidR="00364C7C">
        <w:rPr>
          <w:sz w:val="20"/>
          <w:szCs w:val="20"/>
        </w:rPr>
        <w:t>30-day</w:t>
      </w:r>
      <w:r w:rsidR="005A3D26">
        <w:rPr>
          <w:sz w:val="20"/>
          <w:szCs w:val="20"/>
        </w:rPr>
        <w:t xml:space="preserve"> </w:t>
      </w:r>
      <w:r w:rsidR="00DD72C9">
        <w:rPr>
          <w:sz w:val="20"/>
          <w:szCs w:val="20"/>
        </w:rPr>
        <w:t>measurement</w:t>
      </w:r>
      <w:r w:rsidR="005A3D26">
        <w:rPr>
          <w:sz w:val="20"/>
          <w:szCs w:val="20"/>
        </w:rPr>
        <w:t xml:space="preserve"> of outcomes</w:t>
      </w:r>
      <w:r w:rsidR="00364C7C">
        <w:rPr>
          <w:sz w:val="20"/>
          <w:szCs w:val="20"/>
        </w:rPr>
        <w:t xml:space="preserve"> – potential for this to be extended.</w:t>
      </w:r>
    </w:p>
    <w:p w14:paraId="564D90E2" w14:textId="085CC193" w:rsidR="00B77225" w:rsidRPr="00913151" w:rsidRDefault="006429D2" w:rsidP="00913151">
      <w:pPr>
        <w:numPr>
          <w:ilvl w:val="0"/>
          <w:numId w:val="1"/>
        </w:numPr>
        <w:ind w:left="360"/>
        <w:rPr>
          <w:sz w:val="20"/>
          <w:szCs w:val="20"/>
        </w:rPr>
      </w:pPr>
      <w:r w:rsidRPr="00913151">
        <w:rPr>
          <w:i/>
          <w:sz w:val="20"/>
          <w:szCs w:val="20"/>
        </w:rPr>
        <w:t>Pro forma</w:t>
      </w:r>
      <w:r w:rsidRPr="00913151">
        <w:rPr>
          <w:sz w:val="20"/>
          <w:szCs w:val="20"/>
        </w:rPr>
        <w:t xml:space="preserve"> feature</w:t>
      </w:r>
      <w:r w:rsidR="00B77225" w:rsidRPr="00913151">
        <w:rPr>
          <w:sz w:val="20"/>
          <w:szCs w:val="20"/>
        </w:rPr>
        <w:t>s</w:t>
      </w:r>
      <w:r w:rsidR="006D0137" w:rsidRPr="00913151">
        <w:rPr>
          <w:sz w:val="20"/>
          <w:szCs w:val="20"/>
        </w:rPr>
        <w:t xml:space="preserve"> (attached)</w:t>
      </w:r>
      <w:r w:rsidR="00B77225" w:rsidRPr="00913151">
        <w:rPr>
          <w:sz w:val="20"/>
          <w:szCs w:val="20"/>
        </w:rPr>
        <w:t>:</w:t>
      </w:r>
    </w:p>
    <w:p w14:paraId="0C7C83F8" w14:textId="59D0BB65" w:rsidR="00E765B1" w:rsidRPr="00913151" w:rsidRDefault="006D0137" w:rsidP="00913151">
      <w:pPr>
        <w:numPr>
          <w:ilvl w:val="0"/>
          <w:numId w:val="2"/>
        </w:numPr>
        <w:ind w:left="1080"/>
        <w:rPr>
          <w:sz w:val="20"/>
          <w:szCs w:val="20"/>
        </w:rPr>
      </w:pPr>
      <w:r w:rsidRPr="00913151">
        <w:rPr>
          <w:sz w:val="20"/>
          <w:szCs w:val="20"/>
        </w:rPr>
        <w:t>Demographics: Age/Gender/NHS</w:t>
      </w:r>
    </w:p>
    <w:p w14:paraId="5ABA6B67" w14:textId="12A6B164" w:rsidR="006D0137" w:rsidRPr="00913151" w:rsidRDefault="006D0137" w:rsidP="00913151">
      <w:pPr>
        <w:numPr>
          <w:ilvl w:val="0"/>
          <w:numId w:val="2"/>
        </w:numPr>
        <w:ind w:left="1080"/>
        <w:rPr>
          <w:sz w:val="20"/>
          <w:szCs w:val="20"/>
        </w:rPr>
      </w:pPr>
      <w:r w:rsidRPr="00913151">
        <w:rPr>
          <w:sz w:val="20"/>
          <w:szCs w:val="20"/>
        </w:rPr>
        <w:t>Liver profile: Baseline INR / albumin / ascites (mild/mod/severe) / Encephalopathy / Aetiology / Previous SBP</w:t>
      </w:r>
      <w:r w:rsidR="00CA2737">
        <w:rPr>
          <w:sz w:val="20"/>
          <w:szCs w:val="20"/>
        </w:rPr>
        <w:t xml:space="preserve"> / </w:t>
      </w:r>
      <w:proofErr w:type="spellStart"/>
      <w:r w:rsidR="00CA2737">
        <w:rPr>
          <w:sz w:val="20"/>
          <w:szCs w:val="20"/>
        </w:rPr>
        <w:t>SBP</w:t>
      </w:r>
      <w:proofErr w:type="spellEnd"/>
      <w:r w:rsidR="00CA2737">
        <w:rPr>
          <w:sz w:val="20"/>
          <w:szCs w:val="20"/>
        </w:rPr>
        <w:t xml:space="preserve"> Prophylaxis</w:t>
      </w:r>
    </w:p>
    <w:p w14:paraId="18CD9679" w14:textId="38088D9A" w:rsidR="006D0137" w:rsidRPr="00913151" w:rsidRDefault="006D0137" w:rsidP="00913151">
      <w:pPr>
        <w:numPr>
          <w:ilvl w:val="0"/>
          <w:numId w:val="2"/>
        </w:numPr>
        <w:ind w:left="1080"/>
        <w:rPr>
          <w:sz w:val="20"/>
          <w:szCs w:val="20"/>
        </w:rPr>
      </w:pPr>
      <w:proofErr w:type="spellStart"/>
      <w:r w:rsidRPr="00913151">
        <w:rPr>
          <w:sz w:val="20"/>
          <w:szCs w:val="20"/>
        </w:rPr>
        <w:t>Ascitic</w:t>
      </w:r>
      <w:proofErr w:type="spellEnd"/>
      <w:r w:rsidRPr="00913151">
        <w:rPr>
          <w:sz w:val="20"/>
          <w:szCs w:val="20"/>
        </w:rPr>
        <w:t xml:space="preserve"> profile: </w:t>
      </w:r>
      <w:proofErr w:type="spellStart"/>
      <w:r w:rsidRPr="00913151">
        <w:rPr>
          <w:sz w:val="20"/>
          <w:szCs w:val="20"/>
        </w:rPr>
        <w:t>Ascitic</w:t>
      </w:r>
      <w:proofErr w:type="spellEnd"/>
      <w:r w:rsidRPr="00913151">
        <w:rPr>
          <w:sz w:val="20"/>
          <w:szCs w:val="20"/>
        </w:rPr>
        <w:t xml:space="preserve"> albumin / </w:t>
      </w:r>
      <w:proofErr w:type="spellStart"/>
      <w:r w:rsidRPr="00913151">
        <w:rPr>
          <w:sz w:val="20"/>
          <w:szCs w:val="20"/>
        </w:rPr>
        <w:t>ascitic</w:t>
      </w:r>
      <w:proofErr w:type="spellEnd"/>
      <w:r w:rsidRPr="00913151">
        <w:rPr>
          <w:sz w:val="20"/>
          <w:szCs w:val="20"/>
        </w:rPr>
        <w:t xml:space="preserve"> protein / WCC / PMNs / Culture / Number of taps during admission / Resolution of SBP</w:t>
      </w:r>
    </w:p>
    <w:p w14:paraId="2C627FE2" w14:textId="76946D85" w:rsidR="006D0137" w:rsidRPr="00913151" w:rsidRDefault="006D0137" w:rsidP="00913151">
      <w:pPr>
        <w:numPr>
          <w:ilvl w:val="0"/>
          <w:numId w:val="2"/>
        </w:numPr>
        <w:ind w:left="1080"/>
        <w:rPr>
          <w:sz w:val="20"/>
          <w:szCs w:val="20"/>
        </w:rPr>
      </w:pPr>
      <w:r w:rsidRPr="00913151">
        <w:rPr>
          <w:sz w:val="20"/>
          <w:szCs w:val="20"/>
        </w:rPr>
        <w:t xml:space="preserve"> SBP management: </w:t>
      </w:r>
      <w:proofErr w:type="spellStart"/>
      <w:r w:rsidRPr="00913151">
        <w:rPr>
          <w:sz w:val="20"/>
          <w:szCs w:val="20"/>
        </w:rPr>
        <w:t>Abx</w:t>
      </w:r>
      <w:proofErr w:type="spellEnd"/>
      <w:r w:rsidRPr="00913151">
        <w:rPr>
          <w:sz w:val="20"/>
          <w:szCs w:val="20"/>
        </w:rPr>
        <w:t xml:space="preserve"> / D1 HAS</w:t>
      </w:r>
      <w:r w:rsidR="00CA2737">
        <w:rPr>
          <w:sz w:val="20"/>
          <w:szCs w:val="20"/>
        </w:rPr>
        <w:t xml:space="preserve"> (1.5g/kg)</w:t>
      </w:r>
      <w:r w:rsidRPr="00913151">
        <w:rPr>
          <w:sz w:val="20"/>
          <w:szCs w:val="20"/>
        </w:rPr>
        <w:t xml:space="preserve"> / D</w:t>
      </w:r>
      <w:r w:rsidR="007120FE">
        <w:rPr>
          <w:sz w:val="20"/>
          <w:szCs w:val="20"/>
        </w:rPr>
        <w:t>3 HAS</w:t>
      </w:r>
      <w:r w:rsidR="00CA2737">
        <w:rPr>
          <w:sz w:val="20"/>
          <w:szCs w:val="20"/>
        </w:rPr>
        <w:t xml:space="preserve"> (1g/kg)</w:t>
      </w:r>
      <w:r w:rsidR="007120FE">
        <w:rPr>
          <w:sz w:val="20"/>
          <w:szCs w:val="20"/>
        </w:rPr>
        <w:t xml:space="preserve"> / </w:t>
      </w:r>
      <w:r w:rsidR="00CA2737">
        <w:rPr>
          <w:sz w:val="20"/>
          <w:szCs w:val="20"/>
        </w:rPr>
        <w:t>DC on lifelong</w:t>
      </w:r>
      <w:r w:rsidR="007120FE">
        <w:rPr>
          <w:sz w:val="20"/>
          <w:szCs w:val="20"/>
        </w:rPr>
        <w:t xml:space="preserve"> </w:t>
      </w:r>
      <w:proofErr w:type="spellStart"/>
      <w:r w:rsidR="00CA2737">
        <w:rPr>
          <w:sz w:val="20"/>
          <w:szCs w:val="20"/>
        </w:rPr>
        <w:t>Abx</w:t>
      </w:r>
      <w:proofErr w:type="spellEnd"/>
    </w:p>
    <w:p w14:paraId="370485D8" w14:textId="7A0E10A6" w:rsidR="00E6062B" w:rsidRDefault="00856443" w:rsidP="0043015E">
      <w:pPr>
        <w:numPr>
          <w:ilvl w:val="0"/>
          <w:numId w:val="1"/>
        </w:numPr>
        <w:ind w:left="360"/>
        <w:rPr>
          <w:sz w:val="20"/>
          <w:szCs w:val="20"/>
        </w:rPr>
      </w:pPr>
      <w:r w:rsidRPr="00E6062B">
        <w:rPr>
          <w:sz w:val="20"/>
          <w:szCs w:val="20"/>
        </w:rPr>
        <w:t>Outcomes</w:t>
      </w:r>
      <w:r w:rsidR="006D0137" w:rsidRPr="00E6062B">
        <w:rPr>
          <w:sz w:val="20"/>
          <w:szCs w:val="20"/>
        </w:rPr>
        <w:t xml:space="preserve">: Mortality date / Mortality Cause / SBP recurrence / SBP recurrence date </w:t>
      </w:r>
    </w:p>
    <w:p w14:paraId="0422DCC3" w14:textId="438F8ABB" w:rsidR="00CE05DA" w:rsidRPr="00E6062B" w:rsidRDefault="00E765B1" w:rsidP="0043015E">
      <w:pPr>
        <w:numPr>
          <w:ilvl w:val="0"/>
          <w:numId w:val="1"/>
        </w:numPr>
        <w:ind w:left="360"/>
        <w:rPr>
          <w:sz w:val="20"/>
          <w:szCs w:val="20"/>
        </w:rPr>
      </w:pPr>
      <w:r w:rsidRPr="00E6062B">
        <w:rPr>
          <w:sz w:val="20"/>
          <w:szCs w:val="20"/>
        </w:rPr>
        <w:t>Analyses:</w:t>
      </w:r>
    </w:p>
    <w:p w14:paraId="3102C9D2" w14:textId="2895C66B" w:rsidR="00AB34F1" w:rsidRPr="00913151" w:rsidRDefault="00AB34F1" w:rsidP="00913151">
      <w:pPr>
        <w:pStyle w:val="ListParagraph"/>
        <w:numPr>
          <w:ilvl w:val="1"/>
          <w:numId w:val="1"/>
        </w:numPr>
        <w:ind w:left="1080"/>
        <w:contextualSpacing w:val="0"/>
        <w:rPr>
          <w:sz w:val="20"/>
          <w:szCs w:val="20"/>
        </w:rPr>
      </w:pPr>
      <w:r w:rsidRPr="00913151">
        <w:rPr>
          <w:sz w:val="20"/>
          <w:szCs w:val="20"/>
        </w:rPr>
        <w:lastRenderedPageBreak/>
        <w:t xml:space="preserve">As above – compliance with </w:t>
      </w:r>
      <w:r w:rsidR="004466EF">
        <w:rPr>
          <w:sz w:val="20"/>
          <w:szCs w:val="20"/>
        </w:rPr>
        <w:t>BSG/BASL/EASL/NICE</w:t>
      </w:r>
      <w:r w:rsidRPr="00913151">
        <w:rPr>
          <w:sz w:val="20"/>
          <w:szCs w:val="20"/>
        </w:rPr>
        <w:t xml:space="preserve"> guidance</w:t>
      </w:r>
    </w:p>
    <w:p w14:paraId="42D4CF88" w14:textId="1180937A" w:rsidR="00AA1BB6" w:rsidRDefault="006C3FDE" w:rsidP="00913151">
      <w:pPr>
        <w:pStyle w:val="ListParagraph"/>
        <w:numPr>
          <w:ilvl w:val="1"/>
          <w:numId w:val="1"/>
        </w:numPr>
        <w:ind w:left="1080"/>
        <w:contextualSpacing w:val="0"/>
        <w:rPr>
          <w:sz w:val="20"/>
          <w:szCs w:val="20"/>
        </w:rPr>
      </w:pPr>
      <w:r w:rsidRPr="00913151">
        <w:rPr>
          <w:sz w:val="20"/>
          <w:szCs w:val="20"/>
        </w:rPr>
        <w:t xml:space="preserve">Kaplan-Meier </w:t>
      </w:r>
      <w:r w:rsidR="00017AB3" w:rsidRPr="00913151">
        <w:rPr>
          <w:sz w:val="20"/>
          <w:szCs w:val="20"/>
        </w:rPr>
        <w:t xml:space="preserve">analysis for </w:t>
      </w:r>
      <w:r w:rsidR="000749DD">
        <w:rPr>
          <w:sz w:val="20"/>
          <w:szCs w:val="20"/>
        </w:rPr>
        <w:t>readmissions/</w:t>
      </w:r>
      <w:r w:rsidR="00017AB3" w:rsidRPr="00913151">
        <w:rPr>
          <w:sz w:val="20"/>
          <w:szCs w:val="20"/>
        </w:rPr>
        <w:t xml:space="preserve">mortality/SBP recurrence stratified by </w:t>
      </w:r>
      <w:r w:rsidR="002C31B1" w:rsidRPr="00913151">
        <w:rPr>
          <w:sz w:val="20"/>
          <w:szCs w:val="20"/>
        </w:rPr>
        <w:t>primary</w:t>
      </w:r>
      <w:r w:rsidR="000749DD">
        <w:rPr>
          <w:sz w:val="20"/>
          <w:szCs w:val="20"/>
        </w:rPr>
        <w:t>/secondary</w:t>
      </w:r>
      <w:r w:rsidR="00017AB3" w:rsidRPr="00913151">
        <w:rPr>
          <w:sz w:val="20"/>
          <w:szCs w:val="20"/>
        </w:rPr>
        <w:t xml:space="preserve"> prophylaxis</w:t>
      </w:r>
      <w:r w:rsidRPr="00913151">
        <w:rPr>
          <w:sz w:val="20"/>
          <w:szCs w:val="20"/>
        </w:rPr>
        <w:t xml:space="preserve"> </w:t>
      </w:r>
      <w:r w:rsidR="00364C7C">
        <w:rPr>
          <w:sz w:val="20"/>
          <w:szCs w:val="20"/>
        </w:rPr>
        <w:t>and adherence with practice</w:t>
      </w:r>
      <w:r w:rsidR="000749DD">
        <w:rPr>
          <w:sz w:val="20"/>
          <w:szCs w:val="20"/>
        </w:rPr>
        <w:t>.</w:t>
      </w:r>
    </w:p>
    <w:p w14:paraId="34031C80" w14:textId="4E6B27D1" w:rsidR="001D64D9" w:rsidRPr="00913151" w:rsidRDefault="001D64D9" w:rsidP="00913151">
      <w:pPr>
        <w:pStyle w:val="ListParagraph"/>
        <w:numPr>
          <w:ilvl w:val="1"/>
          <w:numId w:val="1"/>
        </w:numPr>
        <w:ind w:left="10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Correlation analysis between </w:t>
      </w:r>
      <w:proofErr w:type="spellStart"/>
      <w:r>
        <w:rPr>
          <w:sz w:val="20"/>
          <w:szCs w:val="20"/>
        </w:rPr>
        <w:t>ascitic</w:t>
      </w:r>
      <w:proofErr w:type="spellEnd"/>
      <w:r>
        <w:rPr>
          <w:sz w:val="20"/>
          <w:szCs w:val="20"/>
        </w:rPr>
        <w:t xml:space="preserve"> albumin </w:t>
      </w:r>
      <w:r w:rsidR="007120FE">
        <w:rPr>
          <w:sz w:val="20"/>
          <w:szCs w:val="20"/>
        </w:rPr>
        <w:t>and SBP recurrence</w:t>
      </w:r>
    </w:p>
    <w:p w14:paraId="123AA0F5" w14:textId="275F4FDA" w:rsidR="002C31B1" w:rsidRPr="00913151" w:rsidRDefault="00987CB4" w:rsidP="00913151">
      <w:pPr>
        <w:pStyle w:val="ListParagraph"/>
        <w:numPr>
          <w:ilvl w:val="1"/>
          <w:numId w:val="1"/>
        </w:numPr>
        <w:ind w:left="1080"/>
        <w:contextualSpacing w:val="0"/>
        <w:rPr>
          <w:sz w:val="20"/>
          <w:szCs w:val="20"/>
        </w:rPr>
      </w:pPr>
      <w:r>
        <w:rPr>
          <w:sz w:val="20"/>
          <w:szCs w:val="20"/>
        </w:rPr>
        <w:t>Heterogeneity between centres (</w:t>
      </w:r>
      <w:r>
        <w:rPr>
          <w:sz w:val="20"/>
          <w:szCs w:val="20"/>
        </w:rPr>
        <w:sym w:font="Symbol" w:char="F063"/>
      </w:r>
      <w:r w:rsidRPr="00987CB4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</w:p>
    <w:p w14:paraId="4F326F1C" w14:textId="694CBC3B" w:rsidR="000F5300" w:rsidRPr="00913151" w:rsidRDefault="00772575" w:rsidP="00913151">
      <w:pPr>
        <w:pStyle w:val="ListParagraph"/>
        <w:numPr>
          <w:ilvl w:val="0"/>
          <w:numId w:val="1"/>
        </w:numPr>
        <w:ind w:left="360"/>
        <w:contextualSpacing w:val="0"/>
        <w:rPr>
          <w:sz w:val="20"/>
          <w:szCs w:val="20"/>
        </w:rPr>
      </w:pPr>
      <w:r w:rsidRPr="00913151">
        <w:rPr>
          <w:sz w:val="20"/>
          <w:szCs w:val="20"/>
        </w:rPr>
        <w:t xml:space="preserve">Feasibility &amp; Weaknesses: </w:t>
      </w:r>
      <w:r w:rsidR="00E765B1" w:rsidRPr="00913151">
        <w:rPr>
          <w:sz w:val="20"/>
          <w:szCs w:val="20"/>
        </w:rPr>
        <w:t xml:space="preserve"> </w:t>
      </w:r>
      <w:r w:rsidR="002C31B1" w:rsidRPr="00913151">
        <w:rPr>
          <w:sz w:val="20"/>
          <w:szCs w:val="20"/>
        </w:rPr>
        <w:t>As above</w:t>
      </w:r>
    </w:p>
    <w:p w14:paraId="5B708F88" w14:textId="36850165" w:rsidR="00CE05DA" w:rsidRPr="00913151" w:rsidRDefault="00772575" w:rsidP="00913151">
      <w:pPr>
        <w:numPr>
          <w:ilvl w:val="0"/>
          <w:numId w:val="1"/>
        </w:numPr>
        <w:ind w:left="360"/>
        <w:rPr>
          <w:sz w:val="20"/>
          <w:szCs w:val="20"/>
        </w:rPr>
      </w:pPr>
      <w:r w:rsidRPr="00913151">
        <w:rPr>
          <w:sz w:val="20"/>
          <w:szCs w:val="20"/>
        </w:rPr>
        <w:t xml:space="preserve">Ethics approval: </w:t>
      </w:r>
      <w:r w:rsidR="00364C7C">
        <w:rPr>
          <w:sz w:val="20"/>
          <w:szCs w:val="20"/>
        </w:rPr>
        <w:t>IRAS approval not required.  P</w:t>
      </w:r>
      <w:r w:rsidR="00A524F4">
        <w:rPr>
          <w:sz w:val="20"/>
          <w:szCs w:val="20"/>
        </w:rPr>
        <w:t xml:space="preserve">rojects should be </w:t>
      </w:r>
      <w:r w:rsidR="002C31B1" w:rsidRPr="00913151">
        <w:rPr>
          <w:sz w:val="20"/>
          <w:szCs w:val="20"/>
        </w:rPr>
        <w:t>register</w:t>
      </w:r>
      <w:r w:rsidR="00A524F4">
        <w:rPr>
          <w:sz w:val="20"/>
          <w:szCs w:val="20"/>
        </w:rPr>
        <w:t>ed</w:t>
      </w:r>
      <w:r w:rsidR="002C31B1" w:rsidRPr="00913151">
        <w:rPr>
          <w:sz w:val="20"/>
          <w:szCs w:val="20"/>
        </w:rPr>
        <w:t xml:space="preserve"> at individual trusts as </w:t>
      </w:r>
      <w:r w:rsidR="00A524F4">
        <w:rPr>
          <w:sz w:val="20"/>
          <w:szCs w:val="20"/>
        </w:rPr>
        <w:t xml:space="preserve">an </w:t>
      </w:r>
      <w:r w:rsidR="002C31B1" w:rsidRPr="00913151">
        <w:rPr>
          <w:sz w:val="20"/>
          <w:szCs w:val="20"/>
        </w:rPr>
        <w:t>audit</w:t>
      </w:r>
      <w:r w:rsidR="00323A50">
        <w:rPr>
          <w:sz w:val="20"/>
          <w:szCs w:val="20"/>
        </w:rPr>
        <w:t xml:space="preserve"> and data anonymised before sending in for collation.</w:t>
      </w:r>
    </w:p>
    <w:p w14:paraId="4CE9022B" w14:textId="747E1E89" w:rsidR="001E6122" w:rsidRPr="00913151" w:rsidRDefault="001E6122" w:rsidP="00913151">
      <w:pPr>
        <w:numPr>
          <w:ilvl w:val="0"/>
          <w:numId w:val="1"/>
        </w:numPr>
        <w:ind w:left="360"/>
        <w:rPr>
          <w:sz w:val="20"/>
          <w:szCs w:val="20"/>
        </w:rPr>
      </w:pPr>
      <w:r w:rsidRPr="00913151">
        <w:rPr>
          <w:sz w:val="20"/>
          <w:szCs w:val="20"/>
        </w:rPr>
        <w:t xml:space="preserve">Timescale: </w:t>
      </w:r>
      <w:r w:rsidR="002C31B1" w:rsidRPr="00913151">
        <w:rPr>
          <w:sz w:val="20"/>
          <w:szCs w:val="20"/>
        </w:rPr>
        <w:t xml:space="preserve"> </w:t>
      </w:r>
      <w:r w:rsidR="00BC6AD3">
        <w:rPr>
          <w:sz w:val="20"/>
          <w:szCs w:val="20"/>
        </w:rPr>
        <w:t xml:space="preserve">Data collected for all sites by </w:t>
      </w:r>
      <w:r w:rsidR="004C46C0">
        <w:rPr>
          <w:sz w:val="20"/>
          <w:szCs w:val="20"/>
        </w:rPr>
        <w:t>July</w:t>
      </w:r>
      <w:r w:rsidR="00CA2737">
        <w:rPr>
          <w:sz w:val="20"/>
          <w:szCs w:val="20"/>
        </w:rPr>
        <w:t xml:space="preserve"> </w:t>
      </w:r>
      <w:r w:rsidR="002C31B1" w:rsidRPr="00913151">
        <w:rPr>
          <w:sz w:val="20"/>
          <w:szCs w:val="20"/>
        </w:rPr>
        <w:t>2017</w:t>
      </w:r>
    </w:p>
    <w:p w14:paraId="083F4447" w14:textId="77777777" w:rsidR="00772575" w:rsidRPr="00913151" w:rsidRDefault="00772575" w:rsidP="00913151">
      <w:pPr>
        <w:numPr>
          <w:ilvl w:val="0"/>
          <w:numId w:val="1"/>
        </w:numPr>
        <w:ind w:left="360"/>
        <w:rPr>
          <w:sz w:val="20"/>
          <w:szCs w:val="20"/>
        </w:rPr>
      </w:pPr>
      <w:r w:rsidRPr="00913151">
        <w:rPr>
          <w:sz w:val="20"/>
          <w:szCs w:val="20"/>
        </w:rPr>
        <w:t>Intended outcomes:</w:t>
      </w:r>
    </w:p>
    <w:p w14:paraId="256658B2" w14:textId="635F3E76" w:rsidR="004C46C0" w:rsidRDefault="004C46C0" w:rsidP="00913151">
      <w:pPr>
        <w:pStyle w:val="ListParagraph"/>
        <w:numPr>
          <w:ilvl w:val="0"/>
          <w:numId w:val="3"/>
        </w:numPr>
        <w:ind w:left="107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Completion of pilot network project</w:t>
      </w:r>
    </w:p>
    <w:p w14:paraId="7E2B1289" w14:textId="578AD0B3" w:rsidR="00206E24" w:rsidRPr="00913151" w:rsidRDefault="002C31B1" w:rsidP="00913151">
      <w:pPr>
        <w:pStyle w:val="ListParagraph"/>
        <w:numPr>
          <w:ilvl w:val="0"/>
          <w:numId w:val="3"/>
        </w:numPr>
        <w:ind w:left="1074" w:hanging="357"/>
        <w:contextualSpacing w:val="0"/>
        <w:rPr>
          <w:sz w:val="20"/>
          <w:szCs w:val="20"/>
        </w:rPr>
      </w:pPr>
      <w:r w:rsidRPr="00913151">
        <w:rPr>
          <w:sz w:val="20"/>
          <w:szCs w:val="20"/>
        </w:rPr>
        <w:t>Local and regional data</w:t>
      </w:r>
      <w:r w:rsidR="00524C33">
        <w:rPr>
          <w:sz w:val="20"/>
          <w:szCs w:val="20"/>
        </w:rPr>
        <w:t xml:space="preserve"> and development of regional protocol</w:t>
      </w:r>
      <w:r w:rsidR="00BC5CC1">
        <w:rPr>
          <w:sz w:val="20"/>
          <w:szCs w:val="20"/>
        </w:rPr>
        <w:t xml:space="preserve"> for SBP</w:t>
      </w:r>
    </w:p>
    <w:p w14:paraId="5D7A5492" w14:textId="06D1C45E" w:rsidR="00856443" w:rsidRPr="00913151" w:rsidRDefault="004C46C0" w:rsidP="00913151">
      <w:pPr>
        <w:pStyle w:val="ListParagraph"/>
        <w:numPr>
          <w:ilvl w:val="0"/>
          <w:numId w:val="3"/>
        </w:numPr>
        <w:ind w:left="107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Collaborative q</w:t>
      </w:r>
      <w:r w:rsidR="00856443" w:rsidRPr="00913151">
        <w:rPr>
          <w:sz w:val="20"/>
          <w:szCs w:val="20"/>
        </w:rPr>
        <w:t>uality improvement project</w:t>
      </w:r>
      <w:r w:rsidR="00BC5CC1">
        <w:rPr>
          <w:sz w:val="20"/>
          <w:szCs w:val="20"/>
        </w:rPr>
        <w:t xml:space="preserve"> </w:t>
      </w:r>
    </w:p>
    <w:p w14:paraId="162F4A89" w14:textId="0983524A" w:rsidR="00E24138" w:rsidRDefault="00534654" w:rsidP="00913151">
      <w:pPr>
        <w:pStyle w:val="ListParagraph"/>
        <w:numPr>
          <w:ilvl w:val="0"/>
          <w:numId w:val="3"/>
        </w:numPr>
        <w:ind w:left="107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BSG and UEGW 2018 </w:t>
      </w:r>
      <w:r w:rsidR="00E24138" w:rsidRPr="00913151">
        <w:rPr>
          <w:sz w:val="20"/>
          <w:szCs w:val="20"/>
        </w:rPr>
        <w:tab/>
      </w:r>
    </w:p>
    <w:p w14:paraId="72619EA6" w14:textId="4AD35925" w:rsidR="00BC5CC1" w:rsidRPr="00913151" w:rsidRDefault="00BC5CC1" w:rsidP="00913151">
      <w:pPr>
        <w:pStyle w:val="ListParagraph"/>
        <w:numPr>
          <w:ilvl w:val="0"/>
          <w:numId w:val="3"/>
        </w:numPr>
        <w:ind w:left="107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Publication </w:t>
      </w:r>
    </w:p>
    <w:sectPr w:rsidR="00BC5CC1" w:rsidRPr="00913151" w:rsidSect="00ED0B26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F3C4" w14:textId="77777777" w:rsidR="00177E65" w:rsidRDefault="00177E65" w:rsidP="00397C94">
      <w:pPr>
        <w:spacing w:after="0" w:line="240" w:lineRule="auto"/>
      </w:pPr>
      <w:r>
        <w:separator/>
      </w:r>
    </w:p>
  </w:endnote>
  <w:endnote w:type="continuationSeparator" w:id="0">
    <w:p w14:paraId="76872051" w14:textId="77777777" w:rsidR="00177E65" w:rsidRDefault="00177E65" w:rsidP="00397C94">
      <w:pPr>
        <w:spacing w:after="0" w:line="240" w:lineRule="auto"/>
      </w:pPr>
      <w:r>
        <w:continuationSeparator/>
      </w:r>
    </w:p>
  </w:endnote>
  <w:endnote w:id="1">
    <w:p w14:paraId="1E771C78" w14:textId="77777777" w:rsidR="00913151" w:rsidRDefault="00913151" w:rsidP="00E24138">
      <w:pPr>
        <w:pStyle w:val="EndnoteText"/>
        <w:rPr>
          <w:smallCaps/>
          <w:sz w:val="28"/>
          <w:szCs w:val="28"/>
        </w:rPr>
      </w:pPr>
    </w:p>
    <w:p w14:paraId="5A8BE363" w14:textId="77777777" w:rsidR="00913151" w:rsidRDefault="00913151" w:rsidP="00E24138">
      <w:pPr>
        <w:pStyle w:val="EndnoteText"/>
        <w:rPr>
          <w:smallCaps/>
          <w:sz w:val="28"/>
          <w:szCs w:val="28"/>
        </w:rPr>
      </w:pPr>
    </w:p>
    <w:p w14:paraId="3E7F09DF" w14:textId="77777777" w:rsidR="00913151" w:rsidRDefault="00913151" w:rsidP="00E24138">
      <w:pPr>
        <w:pStyle w:val="EndnoteText"/>
        <w:rPr>
          <w:smallCaps/>
          <w:sz w:val="28"/>
          <w:szCs w:val="28"/>
        </w:rPr>
      </w:pPr>
    </w:p>
    <w:p w14:paraId="4B55C1DF" w14:textId="77777777" w:rsidR="00913151" w:rsidRDefault="00913151" w:rsidP="00913151">
      <w:pPr>
        <w:pStyle w:val="EndnoteText"/>
        <w:pBdr>
          <w:bottom w:val="single" w:sz="4" w:space="1" w:color="auto"/>
        </w:pBdr>
        <w:rPr>
          <w:smallCaps/>
          <w:sz w:val="28"/>
          <w:szCs w:val="28"/>
        </w:rPr>
      </w:pPr>
    </w:p>
    <w:p w14:paraId="38320561" w14:textId="77777777" w:rsidR="00265A70" w:rsidRDefault="00265A70" w:rsidP="00913151">
      <w:pPr>
        <w:pStyle w:val="EndnoteText"/>
        <w:pBdr>
          <w:bottom w:val="single" w:sz="4" w:space="1" w:color="auto"/>
        </w:pBdr>
        <w:rPr>
          <w:smallCaps/>
          <w:sz w:val="28"/>
          <w:szCs w:val="28"/>
        </w:rPr>
      </w:pPr>
    </w:p>
    <w:p w14:paraId="052C7319" w14:textId="7D2DBC5C" w:rsidR="002C2D6E" w:rsidRPr="00913151" w:rsidRDefault="00E24138" w:rsidP="00913151">
      <w:pPr>
        <w:pStyle w:val="EndnoteText"/>
        <w:pBdr>
          <w:bottom w:val="single" w:sz="4" w:space="1" w:color="auto"/>
        </w:pBdr>
        <w:rPr>
          <w:b/>
          <w:smallCaps/>
          <w:sz w:val="28"/>
          <w:szCs w:val="28"/>
        </w:rPr>
      </w:pPr>
      <w:r w:rsidRPr="00913151">
        <w:rPr>
          <w:b/>
          <w:smallCaps/>
          <w:sz w:val="28"/>
          <w:szCs w:val="28"/>
        </w:rPr>
        <w:t>References</w:t>
      </w:r>
    </w:p>
    <w:p w14:paraId="1D7863B8" w14:textId="77777777" w:rsidR="00E24138" w:rsidRDefault="00E24138" w:rsidP="002C2D6E">
      <w:pPr>
        <w:pStyle w:val="EndnoteText"/>
        <w:rPr>
          <w:sz w:val="18"/>
          <w:szCs w:val="18"/>
        </w:rPr>
      </w:pPr>
    </w:p>
    <w:p w14:paraId="0DC6C0C8" w14:textId="77777777" w:rsidR="002C2D6E" w:rsidRPr="00913151" w:rsidRDefault="002C2D6E" w:rsidP="002C2D6E">
      <w:pPr>
        <w:pStyle w:val="EndnoteText"/>
        <w:rPr>
          <w:rFonts w:asciiTheme="majorHAnsi" w:hAnsiTheme="majorHAnsi" w:cs="Arial"/>
          <w:sz w:val="18"/>
          <w:szCs w:val="18"/>
          <w:lang w:val="en-US"/>
        </w:rPr>
      </w:pPr>
      <w:r w:rsidRPr="00913151">
        <w:rPr>
          <w:rStyle w:val="EndnoteReference"/>
          <w:rFonts w:asciiTheme="majorHAnsi" w:hAnsiTheme="majorHAnsi"/>
          <w:sz w:val="18"/>
          <w:szCs w:val="18"/>
        </w:rPr>
        <w:endnoteRef/>
      </w:r>
      <w:r w:rsidRPr="00913151">
        <w:rPr>
          <w:rFonts w:asciiTheme="majorHAnsi" w:hAnsiTheme="majorHAnsi"/>
          <w:sz w:val="18"/>
          <w:szCs w:val="18"/>
        </w:rPr>
        <w:t xml:space="preserve"> </w:t>
      </w:r>
      <w:r w:rsidRPr="00913151">
        <w:rPr>
          <w:rFonts w:asciiTheme="majorHAnsi" w:hAnsiTheme="majorHAnsi" w:cs="Arial"/>
          <w:sz w:val="18"/>
          <w:szCs w:val="18"/>
          <w:lang w:val="en-US"/>
        </w:rPr>
        <w:t xml:space="preserve">McPherson S, Dyson J, Austin A, </w:t>
      </w:r>
      <w:r w:rsidRPr="00913151">
        <w:rPr>
          <w:rFonts w:asciiTheme="majorHAnsi" w:hAnsiTheme="majorHAnsi" w:cs="Arial"/>
          <w:i/>
          <w:iCs/>
          <w:sz w:val="18"/>
          <w:szCs w:val="18"/>
          <w:lang w:val="en-US"/>
        </w:rPr>
        <w:t>et al</w:t>
      </w:r>
      <w:r w:rsidRPr="00913151">
        <w:rPr>
          <w:rFonts w:asciiTheme="majorHAnsi" w:hAnsiTheme="majorHAnsi" w:cs="Arial"/>
          <w:sz w:val="18"/>
          <w:szCs w:val="18"/>
          <w:lang w:val="en-US"/>
        </w:rPr>
        <w:t xml:space="preserve">. Response to the NCEPOD report: development of a care bundle for patients admitted with decompensated cirrhosis—the first 24 h. </w:t>
      </w:r>
      <w:r w:rsidRPr="00913151">
        <w:rPr>
          <w:rFonts w:asciiTheme="majorHAnsi" w:hAnsiTheme="majorHAnsi" w:cs="Arial"/>
          <w:i/>
          <w:iCs/>
          <w:sz w:val="18"/>
          <w:szCs w:val="18"/>
          <w:lang w:val="en-US"/>
        </w:rPr>
        <w:t xml:space="preserve">Frontline </w:t>
      </w:r>
      <w:proofErr w:type="spellStart"/>
      <w:r w:rsidRPr="00913151">
        <w:rPr>
          <w:rFonts w:asciiTheme="majorHAnsi" w:hAnsiTheme="majorHAnsi" w:cs="Arial"/>
          <w:i/>
          <w:iCs/>
          <w:sz w:val="18"/>
          <w:szCs w:val="18"/>
          <w:lang w:val="en-US"/>
        </w:rPr>
        <w:t>Gastroenterol</w:t>
      </w:r>
      <w:proofErr w:type="spellEnd"/>
      <w:r w:rsidRPr="00913151">
        <w:rPr>
          <w:rFonts w:asciiTheme="majorHAnsi" w:hAnsiTheme="majorHAnsi" w:cs="Arial"/>
          <w:sz w:val="18"/>
          <w:szCs w:val="18"/>
          <w:lang w:val="en-US"/>
        </w:rPr>
        <w:t xml:space="preserve"> 2016;</w:t>
      </w:r>
      <w:r w:rsidRPr="00913151">
        <w:rPr>
          <w:rFonts w:asciiTheme="majorHAnsi" w:hAnsiTheme="majorHAnsi" w:cs="Arial"/>
          <w:bCs/>
          <w:sz w:val="18"/>
          <w:szCs w:val="18"/>
          <w:lang w:val="en-US"/>
        </w:rPr>
        <w:t>7</w:t>
      </w:r>
      <w:r w:rsidRPr="00913151">
        <w:rPr>
          <w:rFonts w:asciiTheme="majorHAnsi" w:hAnsiTheme="majorHAnsi" w:cs="Arial"/>
          <w:sz w:val="18"/>
          <w:szCs w:val="18"/>
          <w:lang w:val="en-US"/>
        </w:rPr>
        <w:t>:16–23</w:t>
      </w:r>
    </w:p>
    <w:p w14:paraId="1CDE6F6E" w14:textId="77777777" w:rsidR="002C2D6E" w:rsidRPr="00913151" w:rsidRDefault="002C2D6E" w:rsidP="002C2D6E">
      <w:pPr>
        <w:pStyle w:val="EndnoteText"/>
        <w:rPr>
          <w:rFonts w:asciiTheme="majorHAnsi" w:hAnsiTheme="majorHAnsi"/>
          <w:sz w:val="18"/>
          <w:szCs w:val="18"/>
          <w:lang w:val="en-US"/>
        </w:rPr>
      </w:pPr>
    </w:p>
  </w:endnote>
  <w:endnote w:id="2">
    <w:p w14:paraId="6528AC2F" w14:textId="48605E4E" w:rsidR="002C2D6E" w:rsidRPr="00913151" w:rsidRDefault="002C2D6E">
      <w:pPr>
        <w:pStyle w:val="EndnoteText"/>
        <w:rPr>
          <w:rFonts w:asciiTheme="majorHAnsi" w:hAnsiTheme="majorHAnsi" w:cs="OpenSans"/>
          <w:sz w:val="18"/>
          <w:szCs w:val="18"/>
          <w:lang w:val="en-US"/>
        </w:rPr>
      </w:pPr>
      <w:r w:rsidRPr="00913151">
        <w:rPr>
          <w:rStyle w:val="EndnoteReference"/>
          <w:rFonts w:asciiTheme="majorHAnsi" w:hAnsiTheme="majorHAnsi"/>
          <w:sz w:val="18"/>
          <w:szCs w:val="18"/>
        </w:rPr>
        <w:endnoteRef/>
      </w:r>
      <w:r w:rsidRPr="00913151">
        <w:rPr>
          <w:rFonts w:asciiTheme="majorHAnsi" w:hAnsiTheme="majorHAnsi"/>
          <w:sz w:val="18"/>
          <w:szCs w:val="18"/>
        </w:rPr>
        <w:t xml:space="preserve"> </w:t>
      </w:r>
      <w:r w:rsidRPr="00913151">
        <w:rPr>
          <w:rFonts w:asciiTheme="majorHAnsi" w:hAnsiTheme="majorHAnsi" w:cs="OpenSans"/>
          <w:sz w:val="18"/>
          <w:szCs w:val="18"/>
          <w:lang w:val="en-US"/>
        </w:rPr>
        <w:t xml:space="preserve">Evans, L.T., Kim, W.R., </w:t>
      </w:r>
      <w:proofErr w:type="spellStart"/>
      <w:r w:rsidRPr="00913151">
        <w:rPr>
          <w:rFonts w:asciiTheme="majorHAnsi" w:hAnsiTheme="majorHAnsi" w:cs="OpenSans"/>
          <w:sz w:val="18"/>
          <w:szCs w:val="18"/>
          <w:lang w:val="en-US"/>
        </w:rPr>
        <w:t>Poterucha</w:t>
      </w:r>
      <w:proofErr w:type="spellEnd"/>
      <w:r w:rsidRPr="00913151">
        <w:rPr>
          <w:rFonts w:asciiTheme="majorHAnsi" w:hAnsiTheme="majorHAnsi" w:cs="OpenSans"/>
          <w:sz w:val="18"/>
          <w:szCs w:val="18"/>
          <w:lang w:val="en-US"/>
        </w:rPr>
        <w:t>, J.J., and Kamath, P.S. Spontaneous bacterial peritonitis in asymptomatic outpatients wi</w:t>
      </w:r>
      <w:r w:rsidR="00913151">
        <w:rPr>
          <w:rFonts w:asciiTheme="majorHAnsi" w:hAnsiTheme="majorHAnsi" w:cs="OpenSans"/>
          <w:sz w:val="18"/>
          <w:szCs w:val="18"/>
          <w:lang w:val="en-US"/>
        </w:rPr>
        <w:t xml:space="preserve">th cirrhotic ascites. </w:t>
      </w:r>
      <w:proofErr w:type="spellStart"/>
      <w:r w:rsidR="00913151" w:rsidRPr="00913151">
        <w:rPr>
          <w:rFonts w:asciiTheme="majorHAnsi" w:hAnsiTheme="majorHAnsi" w:cs="OpenSans"/>
          <w:i/>
          <w:sz w:val="18"/>
          <w:szCs w:val="18"/>
          <w:lang w:val="en-US"/>
        </w:rPr>
        <w:t>Hepatol</w:t>
      </w:r>
      <w:proofErr w:type="spellEnd"/>
      <w:r w:rsidRPr="00913151">
        <w:rPr>
          <w:rFonts w:asciiTheme="majorHAnsi" w:hAnsiTheme="majorHAnsi" w:cs="OpenSans"/>
          <w:sz w:val="18"/>
          <w:szCs w:val="18"/>
          <w:lang w:val="en-US"/>
        </w:rPr>
        <w:t>. 2003; 37: 897</w:t>
      </w:r>
      <w:r w:rsidR="00913151">
        <w:rPr>
          <w:rFonts w:asciiTheme="majorHAnsi" w:hAnsiTheme="majorHAnsi" w:cs="OpenSans"/>
          <w:sz w:val="18"/>
          <w:szCs w:val="18"/>
          <w:lang w:val="en-US"/>
        </w:rPr>
        <w:t>-</w:t>
      </w:r>
      <w:r w:rsidRPr="00913151">
        <w:rPr>
          <w:rFonts w:asciiTheme="majorHAnsi" w:hAnsiTheme="majorHAnsi" w:cs="OpenSans"/>
          <w:sz w:val="18"/>
          <w:szCs w:val="18"/>
          <w:lang w:val="en-US"/>
        </w:rPr>
        <w:t>901</w:t>
      </w:r>
    </w:p>
  </w:endnote>
  <w:endnote w:id="3">
    <w:p w14:paraId="708CF195" w14:textId="77777777" w:rsidR="002C2D6E" w:rsidRPr="00913151" w:rsidRDefault="002C2D6E">
      <w:pPr>
        <w:pStyle w:val="EndnoteText"/>
        <w:rPr>
          <w:rFonts w:asciiTheme="majorHAnsi" w:hAnsiTheme="majorHAnsi"/>
          <w:sz w:val="18"/>
          <w:szCs w:val="18"/>
        </w:rPr>
      </w:pPr>
    </w:p>
    <w:p w14:paraId="1376F668" w14:textId="66CFAE58" w:rsidR="0059081C" w:rsidRPr="00913151" w:rsidRDefault="0059081C">
      <w:pPr>
        <w:pStyle w:val="EndnoteText"/>
        <w:rPr>
          <w:rFonts w:asciiTheme="majorHAnsi" w:hAnsiTheme="majorHAnsi" w:cs="OpenSans"/>
          <w:sz w:val="18"/>
          <w:szCs w:val="18"/>
          <w:lang w:val="en-US"/>
        </w:rPr>
      </w:pPr>
      <w:r w:rsidRPr="00913151">
        <w:rPr>
          <w:rStyle w:val="EndnoteReference"/>
          <w:rFonts w:asciiTheme="majorHAnsi" w:hAnsiTheme="majorHAnsi"/>
          <w:sz w:val="18"/>
          <w:szCs w:val="18"/>
        </w:rPr>
        <w:endnoteRef/>
      </w:r>
      <w:r w:rsidRPr="0091315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323F7" w:rsidRPr="00913151">
        <w:rPr>
          <w:rFonts w:asciiTheme="majorHAnsi" w:hAnsiTheme="majorHAnsi" w:cs="OpenSans"/>
          <w:sz w:val="18"/>
          <w:szCs w:val="18"/>
          <w:lang w:val="en-US"/>
        </w:rPr>
        <w:t>Rimola</w:t>
      </w:r>
      <w:proofErr w:type="spellEnd"/>
      <w:r w:rsidR="00A323F7" w:rsidRPr="00913151">
        <w:rPr>
          <w:rFonts w:asciiTheme="majorHAnsi" w:hAnsiTheme="majorHAnsi" w:cs="OpenSans"/>
          <w:sz w:val="18"/>
          <w:szCs w:val="18"/>
          <w:lang w:val="en-US"/>
        </w:rPr>
        <w:t xml:space="preserve">, A., </w:t>
      </w:r>
      <w:proofErr w:type="spellStart"/>
      <w:r w:rsidR="00A323F7" w:rsidRPr="00913151">
        <w:rPr>
          <w:rFonts w:asciiTheme="majorHAnsi" w:hAnsiTheme="majorHAnsi" w:cs="OpenSans"/>
          <w:sz w:val="18"/>
          <w:szCs w:val="18"/>
          <w:lang w:val="en-US"/>
        </w:rPr>
        <w:t>Gracia-Tsao</w:t>
      </w:r>
      <w:proofErr w:type="spellEnd"/>
      <w:r w:rsidR="00A323F7" w:rsidRPr="00913151">
        <w:rPr>
          <w:rFonts w:asciiTheme="majorHAnsi" w:hAnsiTheme="majorHAnsi" w:cs="OpenSans"/>
          <w:sz w:val="18"/>
          <w:szCs w:val="18"/>
          <w:lang w:val="en-US"/>
        </w:rPr>
        <w:t xml:space="preserve">, G., </w:t>
      </w:r>
      <w:proofErr w:type="spellStart"/>
      <w:r w:rsidR="00A323F7" w:rsidRPr="00913151">
        <w:rPr>
          <w:rFonts w:asciiTheme="majorHAnsi" w:hAnsiTheme="majorHAnsi" w:cs="OpenSans"/>
          <w:sz w:val="18"/>
          <w:szCs w:val="18"/>
          <w:lang w:val="en-US"/>
        </w:rPr>
        <w:t>Navasa</w:t>
      </w:r>
      <w:proofErr w:type="spellEnd"/>
      <w:r w:rsidR="00A323F7" w:rsidRPr="00913151">
        <w:rPr>
          <w:rFonts w:asciiTheme="majorHAnsi" w:hAnsiTheme="majorHAnsi" w:cs="OpenSans"/>
          <w:sz w:val="18"/>
          <w:szCs w:val="18"/>
          <w:lang w:val="en-US"/>
        </w:rPr>
        <w:t xml:space="preserve">, M. et al. Diagnosis, treatment and prophylaxis of spontaneous bacterial peritonitis: a consensus document. International Ascites Club. </w:t>
      </w:r>
      <w:r w:rsidR="00A323F7" w:rsidRPr="00913151">
        <w:rPr>
          <w:rFonts w:asciiTheme="majorHAnsi" w:hAnsiTheme="majorHAnsi" w:cs="OpenSans"/>
          <w:i/>
          <w:sz w:val="18"/>
          <w:szCs w:val="18"/>
          <w:lang w:val="en-US"/>
        </w:rPr>
        <w:t xml:space="preserve">J </w:t>
      </w:r>
      <w:proofErr w:type="spellStart"/>
      <w:r w:rsidR="00A323F7" w:rsidRPr="00913151">
        <w:rPr>
          <w:rFonts w:asciiTheme="majorHAnsi" w:hAnsiTheme="majorHAnsi" w:cs="OpenSans"/>
          <w:i/>
          <w:sz w:val="18"/>
          <w:szCs w:val="18"/>
          <w:lang w:val="en-US"/>
        </w:rPr>
        <w:t>Hepatol</w:t>
      </w:r>
      <w:proofErr w:type="spellEnd"/>
      <w:r w:rsidR="00A323F7" w:rsidRPr="00913151">
        <w:rPr>
          <w:rFonts w:asciiTheme="majorHAnsi" w:hAnsiTheme="majorHAnsi" w:cs="OpenSans"/>
          <w:sz w:val="18"/>
          <w:szCs w:val="18"/>
          <w:lang w:val="en-US"/>
        </w:rPr>
        <w:t>. 2000; 32: 142</w:t>
      </w:r>
      <w:r w:rsidR="00913151">
        <w:rPr>
          <w:rFonts w:asciiTheme="majorHAnsi" w:hAnsiTheme="majorHAnsi" w:cs="OpenSans"/>
          <w:sz w:val="18"/>
          <w:szCs w:val="18"/>
          <w:lang w:val="en-US"/>
        </w:rPr>
        <w:t>-</w:t>
      </w:r>
      <w:r w:rsidR="00A323F7" w:rsidRPr="00913151">
        <w:rPr>
          <w:rFonts w:asciiTheme="majorHAnsi" w:hAnsiTheme="majorHAnsi" w:cs="OpenSans"/>
          <w:sz w:val="18"/>
          <w:szCs w:val="18"/>
          <w:lang w:val="en-US"/>
        </w:rPr>
        <w:t>153</w:t>
      </w:r>
    </w:p>
    <w:p w14:paraId="5322217D" w14:textId="77777777" w:rsidR="00A323F7" w:rsidRPr="00913151" w:rsidRDefault="00A323F7">
      <w:pPr>
        <w:pStyle w:val="EndnoteText"/>
        <w:rPr>
          <w:rFonts w:asciiTheme="majorHAnsi" w:hAnsiTheme="majorHAnsi"/>
          <w:sz w:val="18"/>
          <w:szCs w:val="18"/>
        </w:rPr>
      </w:pPr>
    </w:p>
  </w:endnote>
  <w:endnote w:id="4">
    <w:p w14:paraId="06669CEF" w14:textId="2BD35E26" w:rsidR="00A323F7" w:rsidRPr="00913151" w:rsidRDefault="00A323F7">
      <w:pPr>
        <w:pStyle w:val="EndnoteText"/>
        <w:rPr>
          <w:rFonts w:asciiTheme="majorHAnsi" w:hAnsiTheme="majorHAnsi"/>
          <w:sz w:val="18"/>
          <w:szCs w:val="18"/>
          <w:lang w:val="en-US"/>
        </w:rPr>
      </w:pPr>
      <w:r w:rsidRPr="00913151">
        <w:rPr>
          <w:rStyle w:val="EndnoteReference"/>
          <w:rFonts w:asciiTheme="majorHAnsi" w:hAnsiTheme="majorHAnsi"/>
          <w:sz w:val="18"/>
          <w:szCs w:val="18"/>
        </w:rPr>
        <w:endnoteRef/>
      </w:r>
      <w:r w:rsidRPr="00913151">
        <w:rPr>
          <w:rFonts w:asciiTheme="majorHAnsi" w:hAnsiTheme="majorHAnsi"/>
          <w:sz w:val="18"/>
          <w:szCs w:val="18"/>
        </w:rPr>
        <w:t xml:space="preserve"> </w:t>
      </w:r>
      <w:r w:rsidRPr="00913151">
        <w:rPr>
          <w:rFonts w:asciiTheme="majorHAnsi" w:hAnsiTheme="majorHAnsi"/>
          <w:sz w:val="18"/>
          <w:szCs w:val="18"/>
          <w:lang w:val="en-US"/>
        </w:rPr>
        <w:t xml:space="preserve">TH Hung, CC Tsai, YH Hsieh, CC Tsai. The long-term mortality of spontaneous bacterial peritonitis in cirrhotic patients: A 3-year nationwide cohort study. </w:t>
      </w:r>
      <w:r w:rsidRPr="00913151">
        <w:rPr>
          <w:rFonts w:asciiTheme="majorHAnsi" w:hAnsiTheme="majorHAnsi"/>
          <w:i/>
          <w:sz w:val="18"/>
          <w:szCs w:val="18"/>
          <w:lang w:val="en-US"/>
        </w:rPr>
        <w:t xml:space="preserve">Turk J </w:t>
      </w:r>
      <w:proofErr w:type="spellStart"/>
      <w:r w:rsidRPr="00913151">
        <w:rPr>
          <w:rFonts w:asciiTheme="majorHAnsi" w:hAnsiTheme="majorHAnsi"/>
          <w:i/>
          <w:sz w:val="18"/>
          <w:szCs w:val="18"/>
          <w:lang w:val="en-US"/>
        </w:rPr>
        <w:t>Gastroenterol</w:t>
      </w:r>
      <w:proofErr w:type="spellEnd"/>
      <w:r w:rsidRPr="00913151">
        <w:rPr>
          <w:rFonts w:asciiTheme="majorHAnsi" w:hAnsiTheme="majorHAnsi"/>
          <w:sz w:val="18"/>
          <w:szCs w:val="18"/>
          <w:lang w:val="en-US"/>
        </w:rPr>
        <w:t>. 2015;</w:t>
      </w:r>
      <w:r w:rsidR="00913151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913151">
        <w:rPr>
          <w:rFonts w:asciiTheme="majorHAnsi" w:hAnsiTheme="majorHAnsi"/>
          <w:sz w:val="18"/>
          <w:szCs w:val="18"/>
          <w:lang w:val="en-US"/>
        </w:rPr>
        <w:t>26:</w:t>
      </w:r>
      <w:r w:rsidR="00913151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913151">
        <w:rPr>
          <w:rFonts w:asciiTheme="majorHAnsi" w:hAnsiTheme="majorHAnsi"/>
          <w:sz w:val="18"/>
          <w:szCs w:val="18"/>
          <w:lang w:val="en-US"/>
        </w:rPr>
        <w:t>159–62</w:t>
      </w:r>
    </w:p>
    <w:p w14:paraId="517552C0" w14:textId="6CB52327" w:rsidR="00264023" w:rsidRPr="00913151" w:rsidRDefault="00264023" w:rsidP="002640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lang w:val="en-US"/>
        </w:rPr>
      </w:pPr>
    </w:p>
  </w:endnote>
  <w:endnote w:id="5">
    <w:p w14:paraId="31EFAF84" w14:textId="340EA53D" w:rsidR="00264023" w:rsidRPr="00913151" w:rsidRDefault="00264023" w:rsidP="002640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  <w:lang w:val="en-US"/>
        </w:rPr>
      </w:pPr>
      <w:r w:rsidRPr="00913151">
        <w:rPr>
          <w:rStyle w:val="EndnoteReference"/>
          <w:rFonts w:asciiTheme="majorHAnsi" w:hAnsiTheme="majorHAnsi"/>
          <w:sz w:val="18"/>
          <w:szCs w:val="18"/>
        </w:rPr>
        <w:endnoteRef/>
      </w:r>
      <w:r w:rsidRPr="00913151">
        <w:rPr>
          <w:rFonts w:asciiTheme="majorHAnsi" w:hAnsiTheme="majorHAnsi"/>
          <w:sz w:val="18"/>
          <w:szCs w:val="18"/>
        </w:rPr>
        <w:t xml:space="preserve"> </w:t>
      </w:r>
      <w:r w:rsidRPr="00913151">
        <w:rPr>
          <w:rFonts w:asciiTheme="majorHAnsi" w:hAnsiTheme="majorHAnsi"/>
          <w:sz w:val="18"/>
          <w:szCs w:val="18"/>
          <w:lang w:val="en-US"/>
        </w:rPr>
        <w:t xml:space="preserve">R Wiest, A </w:t>
      </w:r>
      <w:proofErr w:type="spellStart"/>
      <w:r w:rsidRPr="00913151">
        <w:rPr>
          <w:rFonts w:asciiTheme="majorHAnsi" w:hAnsiTheme="majorHAnsi"/>
          <w:sz w:val="18"/>
          <w:szCs w:val="18"/>
          <w:lang w:val="en-US"/>
        </w:rPr>
        <w:t>Krag</w:t>
      </w:r>
      <w:proofErr w:type="spellEnd"/>
      <w:r w:rsidRPr="00913151">
        <w:rPr>
          <w:rFonts w:asciiTheme="majorHAnsi" w:hAnsiTheme="majorHAnsi"/>
          <w:sz w:val="18"/>
          <w:szCs w:val="18"/>
          <w:lang w:val="en-US"/>
        </w:rPr>
        <w:t xml:space="preserve">, A </w:t>
      </w:r>
      <w:proofErr w:type="spellStart"/>
      <w:r w:rsidRPr="00913151">
        <w:rPr>
          <w:rFonts w:asciiTheme="majorHAnsi" w:hAnsiTheme="majorHAnsi"/>
          <w:sz w:val="18"/>
          <w:szCs w:val="18"/>
          <w:lang w:val="en-US"/>
        </w:rPr>
        <w:t>Gerbes</w:t>
      </w:r>
      <w:proofErr w:type="spellEnd"/>
      <w:r w:rsidRPr="00913151">
        <w:rPr>
          <w:rFonts w:asciiTheme="majorHAnsi" w:hAnsiTheme="majorHAnsi"/>
          <w:sz w:val="18"/>
          <w:szCs w:val="18"/>
          <w:lang w:val="en-US"/>
        </w:rPr>
        <w:t xml:space="preserve">.  Recent advances in clinical practice: Spontaneous bacterial peritonitis.  </w:t>
      </w:r>
      <w:r w:rsidRPr="00913151">
        <w:rPr>
          <w:rFonts w:asciiTheme="majorHAnsi" w:hAnsiTheme="majorHAnsi"/>
          <w:i/>
          <w:sz w:val="18"/>
          <w:szCs w:val="18"/>
          <w:lang w:val="en-US"/>
        </w:rPr>
        <w:t>Gut</w:t>
      </w:r>
      <w:r w:rsidRPr="00913151">
        <w:rPr>
          <w:rFonts w:asciiTheme="majorHAnsi" w:hAnsiTheme="majorHAnsi"/>
          <w:sz w:val="18"/>
          <w:szCs w:val="18"/>
          <w:lang w:val="en-US"/>
        </w:rPr>
        <w:t xml:space="preserve"> 2012;</w:t>
      </w:r>
      <w:r w:rsidR="00913151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913151">
        <w:rPr>
          <w:rFonts w:asciiTheme="majorHAnsi" w:hAnsiTheme="majorHAnsi"/>
          <w:sz w:val="18"/>
          <w:szCs w:val="18"/>
          <w:lang w:val="en-US"/>
        </w:rPr>
        <w:t>61:2 297-310</w:t>
      </w:r>
    </w:p>
    <w:p w14:paraId="2F440AE1" w14:textId="10F2CF67" w:rsidR="00866C47" w:rsidRPr="00913151" w:rsidRDefault="00866C47" w:rsidP="00866C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  <w:lang w:val="en-US"/>
        </w:rPr>
      </w:pPr>
    </w:p>
  </w:endnote>
  <w:endnote w:id="6">
    <w:p w14:paraId="098655B0" w14:textId="4E0528D0" w:rsidR="00866C47" w:rsidRPr="00913151" w:rsidRDefault="00866C47" w:rsidP="00866C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  <w:lang w:val="en-US"/>
        </w:rPr>
      </w:pPr>
      <w:r w:rsidRPr="00913151">
        <w:rPr>
          <w:rStyle w:val="EndnoteReference"/>
          <w:rFonts w:asciiTheme="majorHAnsi" w:hAnsiTheme="majorHAnsi"/>
          <w:sz w:val="18"/>
          <w:szCs w:val="18"/>
        </w:rPr>
        <w:endnoteRef/>
      </w:r>
      <w:r w:rsidRPr="00913151">
        <w:rPr>
          <w:rFonts w:asciiTheme="majorHAnsi" w:hAnsiTheme="majorHAnsi"/>
          <w:sz w:val="18"/>
          <w:szCs w:val="18"/>
          <w:lang w:val="en-US"/>
        </w:rPr>
        <w:t xml:space="preserve"> European Association for the Study of the Liver, EASL clinical practice guidelines on the management of ascites, spontaneous bacterial peritonitis, and </w:t>
      </w:r>
      <w:proofErr w:type="spellStart"/>
      <w:r w:rsidRPr="00913151">
        <w:rPr>
          <w:rFonts w:asciiTheme="majorHAnsi" w:hAnsiTheme="majorHAnsi"/>
          <w:sz w:val="18"/>
          <w:szCs w:val="18"/>
          <w:lang w:val="en-US"/>
        </w:rPr>
        <w:t>hepatorenal</w:t>
      </w:r>
      <w:proofErr w:type="spellEnd"/>
      <w:r w:rsidRPr="00913151">
        <w:rPr>
          <w:rFonts w:asciiTheme="majorHAnsi" w:hAnsiTheme="majorHAnsi"/>
          <w:sz w:val="18"/>
          <w:szCs w:val="18"/>
          <w:lang w:val="en-US"/>
        </w:rPr>
        <w:t xml:space="preserve"> syndrome in cirrhosis. </w:t>
      </w:r>
      <w:r w:rsidRPr="00913151">
        <w:rPr>
          <w:rFonts w:asciiTheme="majorHAnsi" w:hAnsiTheme="majorHAnsi"/>
          <w:i/>
          <w:sz w:val="18"/>
          <w:szCs w:val="18"/>
          <w:lang w:val="en-US"/>
        </w:rPr>
        <w:t xml:space="preserve">J </w:t>
      </w:r>
      <w:proofErr w:type="spellStart"/>
      <w:r w:rsidRPr="00913151">
        <w:rPr>
          <w:rFonts w:asciiTheme="majorHAnsi" w:hAnsiTheme="majorHAnsi"/>
          <w:i/>
          <w:sz w:val="18"/>
          <w:szCs w:val="18"/>
          <w:lang w:val="en-US"/>
        </w:rPr>
        <w:t>Hepatol</w:t>
      </w:r>
      <w:proofErr w:type="spellEnd"/>
      <w:r w:rsidRPr="00913151">
        <w:rPr>
          <w:rFonts w:asciiTheme="majorHAnsi" w:hAnsiTheme="majorHAnsi"/>
          <w:i/>
          <w:sz w:val="18"/>
          <w:szCs w:val="18"/>
          <w:lang w:val="en-US"/>
        </w:rPr>
        <w:t>.</w:t>
      </w:r>
      <w:r w:rsidRPr="00913151">
        <w:rPr>
          <w:rFonts w:asciiTheme="majorHAnsi" w:hAnsiTheme="majorHAnsi"/>
          <w:sz w:val="18"/>
          <w:szCs w:val="18"/>
          <w:lang w:val="en-US"/>
        </w:rPr>
        <w:t xml:space="preserve"> 2010 Sep;53(3):397-417. </w:t>
      </w:r>
    </w:p>
    <w:p w14:paraId="340E8A88" w14:textId="664EA83D" w:rsidR="00866C47" w:rsidRPr="00913151" w:rsidRDefault="00866C47" w:rsidP="00866C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  <w:lang w:val="en-US"/>
        </w:rPr>
      </w:pPr>
    </w:p>
  </w:endnote>
  <w:endnote w:id="7">
    <w:p w14:paraId="678FDF77" w14:textId="4F5CD6C7" w:rsidR="002B7932" w:rsidRDefault="002B7932">
      <w:pPr>
        <w:pStyle w:val="EndnoteText"/>
        <w:rPr>
          <w:rFonts w:asciiTheme="majorHAnsi" w:hAnsiTheme="majorHAnsi"/>
          <w:sz w:val="18"/>
          <w:szCs w:val="18"/>
          <w:lang w:val="en-US"/>
        </w:rPr>
      </w:pPr>
      <w:r w:rsidRPr="00913151">
        <w:rPr>
          <w:rFonts w:asciiTheme="majorHAnsi" w:hAnsiTheme="majorHAnsi"/>
          <w:sz w:val="18"/>
          <w:szCs w:val="18"/>
          <w:vertAlign w:val="superscript"/>
          <w:lang w:val="en-US"/>
        </w:rPr>
        <w:endnoteRef/>
      </w:r>
      <w:r w:rsidRPr="00913151">
        <w:rPr>
          <w:rFonts w:asciiTheme="majorHAnsi" w:hAnsiTheme="majorHAnsi"/>
          <w:sz w:val="18"/>
          <w:szCs w:val="18"/>
          <w:lang w:val="en-US"/>
        </w:rPr>
        <w:t xml:space="preserve"> NICE NG50: Cirrhosis in over 16s: assessment and management, July 2016.</w:t>
      </w:r>
    </w:p>
    <w:p w14:paraId="67ACB080" w14:textId="77777777" w:rsidR="0085283F" w:rsidRDefault="0085283F">
      <w:pPr>
        <w:pStyle w:val="EndnoteText"/>
        <w:rPr>
          <w:rFonts w:asciiTheme="majorHAnsi" w:hAnsiTheme="majorHAnsi"/>
          <w:sz w:val="18"/>
          <w:szCs w:val="18"/>
          <w:lang w:val="en-US"/>
        </w:rPr>
      </w:pPr>
    </w:p>
    <w:p w14:paraId="210FB09C" w14:textId="5FB17598" w:rsidR="002C7EF6" w:rsidRPr="00CA3CC4" w:rsidRDefault="002C7EF6">
      <w:pPr>
        <w:pStyle w:val="EndnoteText"/>
        <w:rPr>
          <w:rFonts w:asciiTheme="majorHAnsi" w:hAnsiTheme="majorHAnsi"/>
          <w:sz w:val="18"/>
          <w:szCs w:val="16"/>
          <w:lang w:val="en-US"/>
        </w:rPr>
      </w:pPr>
      <w:r w:rsidRPr="00CA3CC4">
        <w:rPr>
          <w:rFonts w:asciiTheme="majorHAnsi" w:hAnsiTheme="majorHAnsi"/>
          <w:sz w:val="18"/>
          <w:szCs w:val="16"/>
          <w:vertAlign w:val="superscript"/>
          <w:lang w:val="en-US"/>
        </w:rPr>
        <w:t>8</w:t>
      </w:r>
      <w:r w:rsidRPr="00CA3CC4">
        <w:rPr>
          <w:rFonts w:asciiTheme="majorHAnsi" w:hAnsiTheme="majorHAnsi"/>
          <w:sz w:val="18"/>
          <w:szCs w:val="16"/>
          <w:lang w:val="en-US"/>
        </w:rPr>
        <w:t xml:space="preserve"> HES data: http://content.digital.nhs.uk/article/2701/One-in-11-hospital-admissions-for-liver-disease-ends-in-a-hospital-death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SemiBold Italic">
    <w:charset w:val="00"/>
    <w:family w:val="auto"/>
    <w:pitch w:val="variable"/>
    <w:sig w:usb0="80000067" w:usb1="02000040" w:usb2="00000000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4F08" w14:textId="77777777" w:rsidR="00A527E9" w:rsidRDefault="00A527E9" w:rsidP="00552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28FDD" w14:textId="77777777" w:rsidR="00A527E9" w:rsidRDefault="00A527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2882412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039863200"/>
          <w:docPartObj>
            <w:docPartGallery w:val="Page Numbers (Top of Page)"/>
            <w:docPartUnique/>
          </w:docPartObj>
        </w:sdtPr>
        <w:sdtEndPr/>
        <w:sdtContent>
          <w:p w14:paraId="00CCE79D" w14:textId="1920F1F3" w:rsidR="00ED0B26" w:rsidRPr="00ED0B26" w:rsidRDefault="00ED0B26">
            <w:pPr>
              <w:pStyle w:val="Footer"/>
              <w:jc w:val="center"/>
              <w:rPr>
                <w:sz w:val="20"/>
                <w:szCs w:val="20"/>
              </w:rPr>
            </w:pPr>
            <w:r w:rsidRPr="00ED0B26">
              <w:rPr>
                <w:sz w:val="20"/>
                <w:szCs w:val="20"/>
              </w:rPr>
              <w:t xml:space="preserve">Page </w:t>
            </w:r>
            <w:r w:rsidRPr="00ED0B26">
              <w:rPr>
                <w:b/>
                <w:bCs/>
                <w:sz w:val="20"/>
                <w:szCs w:val="20"/>
              </w:rPr>
              <w:fldChar w:fldCharType="begin"/>
            </w:r>
            <w:r w:rsidRPr="00ED0B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D0B26">
              <w:rPr>
                <w:b/>
                <w:bCs/>
                <w:sz w:val="20"/>
                <w:szCs w:val="20"/>
              </w:rPr>
              <w:fldChar w:fldCharType="separate"/>
            </w:r>
            <w:r w:rsidR="0029539A">
              <w:rPr>
                <w:b/>
                <w:bCs/>
                <w:noProof/>
                <w:sz w:val="20"/>
                <w:szCs w:val="20"/>
              </w:rPr>
              <w:t>3</w:t>
            </w:r>
            <w:r w:rsidRPr="00ED0B26">
              <w:rPr>
                <w:b/>
                <w:bCs/>
                <w:sz w:val="20"/>
                <w:szCs w:val="20"/>
              </w:rPr>
              <w:fldChar w:fldCharType="end"/>
            </w:r>
            <w:r w:rsidRPr="00ED0B26">
              <w:rPr>
                <w:sz w:val="20"/>
                <w:szCs w:val="20"/>
              </w:rPr>
              <w:t xml:space="preserve"> of </w:t>
            </w:r>
            <w:r w:rsidRPr="00ED0B26">
              <w:rPr>
                <w:b/>
                <w:bCs/>
                <w:sz w:val="20"/>
                <w:szCs w:val="20"/>
              </w:rPr>
              <w:fldChar w:fldCharType="begin"/>
            </w:r>
            <w:r w:rsidRPr="00ED0B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D0B26">
              <w:rPr>
                <w:b/>
                <w:bCs/>
                <w:sz w:val="20"/>
                <w:szCs w:val="20"/>
              </w:rPr>
              <w:fldChar w:fldCharType="separate"/>
            </w:r>
            <w:r w:rsidR="0029539A">
              <w:rPr>
                <w:b/>
                <w:bCs/>
                <w:noProof/>
                <w:sz w:val="20"/>
                <w:szCs w:val="20"/>
              </w:rPr>
              <w:t>4</w:t>
            </w:r>
            <w:r w:rsidRPr="00ED0B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50CCFA" w14:textId="5B3B34E9" w:rsidR="00A527E9" w:rsidRPr="00ED0B26" w:rsidRDefault="00364C7C" w:rsidP="00C00B60">
    <w:pPr>
      <w:pBdr>
        <w:top w:val="single" w:sz="4" w:space="1" w:color="auto"/>
      </w:pBdr>
      <w:jc w:val="right"/>
      <w:rPr>
        <w:smallCaps/>
        <w:sz w:val="20"/>
        <w:szCs w:val="20"/>
      </w:rPr>
    </w:pPr>
    <w:r>
      <w:rPr>
        <w:smallCaps/>
        <w:sz w:val="20"/>
        <w:szCs w:val="20"/>
      </w:rPr>
      <w:t xml:space="preserve">K </w:t>
    </w:r>
    <w:proofErr w:type="spellStart"/>
    <w:r>
      <w:rPr>
        <w:smallCaps/>
        <w:sz w:val="20"/>
        <w:szCs w:val="20"/>
      </w:rPr>
      <w:t>Siau</w:t>
    </w:r>
    <w:proofErr w:type="spellEnd"/>
    <w:r>
      <w:rPr>
        <w:smallCaps/>
        <w:sz w:val="20"/>
        <w:szCs w:val="20"/>
      </w:rPr>
      <w:t xml:space="preserve"> </w:t>
    </w:r>
    <w:r w:rsidR="007120FE">
      <w:rPr>
        <w:smallCaps/>
        <w:sz w:val="20"/>
        <w:szCs w:val="20"/>
      </w:rPr>
      <w:t>-</w:t>
    </w:r>
    <w:r w:rsidR="004A2796">
      <w:rPr>
        <w:smallCaps/>
        <w:sz w:val="20"/>
        <w:szCs w:val="20"/>
      </w:rPr>
      <w:t xml:space="preserve"> </w:t>
    </w:r>
    <w:r w:rsidR="00C00B60">
      <w:rPr>
        <w:smallCaps/>
        <w:sz w:val="20"/>
        <w:szCs w:val="20"/>
      </w:rPr>
      <w:t>WMRIG SBP Proposal</w:t>
    </w:r>
    <w:r w:rsidR="00024A11">
      <w:rPr>
        <w:smallCaps/>
        <w:sz w:val="20"/>
        <w:szCs w:val="20"/>
      </w:rPr>
      <w:t xml:space="preserve"> v2</w:t>
    </w:r>
    <w:r>
      <w:rPr>
        <w:smallCaps/>
        <w:sz w:val="20"/>
        <w:szCs w:val="20"/>
      </w:rPr>
      <w:t>,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B372" w14:textId="77777777" w:rsidR="00ED0B26" w:rsidRDefault="00A527E9" w:rsidP="00ED0B26">
    <w:pPr>
      <w:pBdr>
        <w:top w:val="single" w:sz="4" w:space="1" w:color="auto"/>
      </w:pBdr>
      <w:ind w:left="720"/>
      <w:jc w:val="center"/>
    </w:pPr>
    <w:r>
      <w:tab/>
    </w:r>
    <w:r>
      <w:tab/>
    </w:r>
    <w:r>
      <w:tab/>
    </w:r>
  </w:p>
  <w:p w14:paraId="7184B619" w14:textId="617BDF79" w:rsidR="00A527E9" w:rsidRPr="0055232A" w:rsidRDefault="00A527E9" w:rsidP="0055232A">
    <w:pPr>
      <w:pBdr>
        <w:top w:val="single" w:sz="4" w:space="1" w:color="auto"/>
      </w:pBdr>
      <w:ind w:left="720"/>
      <w:jc w:val="right"/>
      <w:rPr>
        <w:smallCaps/>
        <w:sz w:val="28"/>
        <w:szCs w:val="28"/>
      </w:rPr>
    </w:pPr>
    <w:r>
      <w:tab/>
    </w:r>
    <w:r>
      <w:tab/>
    </w:r>
    <w:proofErr w:type="spellStart"/>
    <w:r w:rsidR="00D83D48">
      <w:t>Siau</w:t>
    </w:r>
    <w:proofErr w:type="spellEnd"/>
    <w:r w:rsidR="00D83D48">
      <w:t xml:space="preserve"> K, Management of PUD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0D4A" w14:textId="77777777" w:rsidR="00177E65" w:rsidRDefault="00177E65" w:rsidP="00397C94">
      <w:pPr>
        <w:spacing w:after="0" w:line="240" w:lineRule="auto"/>
      </w:pPr>
      <w:r>
        <w:separator/>
      </w:r>
    </w:p>
  </w:footnote>
  <w:footnote w:type="continuationSeparator" w:id="0">
    <w:p w14:paraId="03E60493" w14:textId="77777777" w:rsidR="00177E65" w:rsidRDefault="00177E65" w:rsidP="0039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315D" w14:textId="77777777" w:rsidR="00A527E9" w:rsidRDefault="00A527E9" w:rsidP="00397C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94251"/>
    <w:multiLevelType w:val="multilevel"/>
    <w:tmpl w:val="330E0BA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03A9082B"/>
    <w:multiLevelType w:val="hybridMultilevel"/>
    <w:tmpl w:val="FE16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4828"/>
    <w:multiLevelType w:val="multilevel"/>
    <w:tmpl w:val="EA148F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1CB9"/>
    <w:multiLevelType w:val="hybridMultilevel"/>
    <w:tmpl w:val="C646F7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2BB2"/>
    <w:multiLevelType w:val="hybridMultilevel"/>
    <w:tmpl w:val="30104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6254"/>
    <w:multiLevelType w:val="hybridMultilevel"/>
    <w:tmpl w:val="07E8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C34E3"/>
    <w:multiLevelType w:val="hybridMultilevel"/>
    <w:tmpl w:val="2B722B32"/>
    <w:lvl w:ilvl="0" w:tplc="0A22FE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517842"/>
    <w:multiLevelType w:val="hybridMultilevel"/>
    <w:tmpl w:val="7FE27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A7973"/>
    <w:multiLevelType w:val="multilevel"/>
    <w:tmpl w:val="C9BE03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824CC"/>
    <w:multiLevelType w:val="multilevel"/>
    <w:tmpl w:val="05FE19E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">
    <w:nsid w:val="2A164EF0"/>
    <w:multiLevelType w:val="multilevel"/>
    <w:tmpl w:val="DE1426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12974"/>
    <w:multiLevelType w:val="hybridMultilevel"/>
    <w:tmpl w:val="DE142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F4C4D"/>
    <w:multiLevelType w:val="hybridMultilevel"/>
    <w:tmpl w:val="C9BE0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0FEF"/>
    <w:multiLevelType w:val="hybridMultilevel"/>
    <w:tmpl w:val="E2A08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402018"/>
    <w:multiLevelType w:val="hybridMultilevel"/>
    <w:tmpl w:val="C46CE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737534"/>
    <w:multiLevelType w:val="hybridMultilevel"/>
    <w:tmpl w:val="40F6B0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97294"/>
    <w:multiLevelType w:val="hybridMultilevel"/>
    <w:tmpl w:val="D944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76AF2"/>
    <w:multiLevelType w:val="multilevel"/>
    <w:tmpl w:val="496077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9">
    <w:nsid w:val="6045751A"/>
    <w:multiLevelType w:val="multilevel"/>
    <w:tmpl w:val="54B4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6075A"/>
    <w:multiLevelType w:val="hybridMultilevel"/>
    <w:tmpl w:val="4C909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04F25"/>
    <w:multiLevelType w:val="hybridMultilevel"/>
    <w:tmpl w:val="8E722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3440E"/>
    <w:multiLevelType w:val="hybridMultilevel"/>
    <w:tmpl w:val="FBC0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129BD"/>
    <w:multiLevelType w:val="hybridMultilevel"/>
    <w:tmpl w:val="EA148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078CB"/>
    <w:multiLevelType w:val="hybridMultilevel"/>
    <w:tmpl w:val="90581B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4"/>
  </w:num>
  <w:num w:numId="5">
    <w:abstractNumId w:val="15"/>
  </w:num>
  <w:num w:numId="6">
    <w:abstractNumId w:val="22"/>
  </w:num>
  <w:num w:numId="7">
    <w:abstractNumId w:val="10"/>
  </w:num>
  <w:num w:numId="8">
    <w:abstractNumId w:val="1"/>
  </w:num>
  <w:num w:numId="9">
    <w:abstractNumId w:val="18"/>
  </w:num>
  <w:num w:numId="10">
    <w:abstractNumId w:val="2"/>
  </w:num>
  <w:num w:numId="11">
    <w:abstractNumId w:val="17"/>
  </w:num>
  <w:num w:numId="12">
    <w:abstractNumId w:val="14"/>
  </w:num>
  <w:num w:numId="13">
    <w:abstractNumId w:val="24"/>
  </w:num>
  <w:num w:numId="14">
    <w:abstractNumId w:val="16"/>
  </w:num>
  <w:num w:numId="15">
    <w:abstractNumId w:val="6"/>
  </w:num>
  <w:num w:numId="16">
    <w:abstractNumId w:val="0"/>
  </w:num>
  <w:num w:numId="17">
    <w:abstractNumId w:val="19"/>
  </w:num>
  <w:num w:numId="18">
    <w:abstractNumId w:val="13"/>
  </w:num>
  <w:num w:numId="19">
    <w:abstractNumId w:val="12"/>
  </w:num>
  <w:num w:numId="20">
    <w:abstractNumId w:val="11"/>
  </w:num>
  <w:num w:numId="21">
    <w:abstractNumId w:val="5"/>
  </w:num>
  <w:num w:numId="22">
    <w:abstractNumId w:val="9"/>
  </w:num>
  <w:num w:numId="23">
    <w:abstractNumId w:val="23"/>
  </w:num>
  <w:num w:numId="24">
    <w:abstractNumId w:val="3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95"/>
    <w:rsid w:val="000059A1"/>
    <w:rsid w:val="0000660D"/>
    <w:rsid w:val="00010E87"/>
    <w:rsid w:val="00012898"/>
    <w:rsid w:val="00014848"/>
    <w:rsid w:val="00016FA8"/>
    <w:rsid w:val="0001758D"/>
    <w:rsid w:val="00017AB3"/>
    <w:rsid w:val="00024A11"/>
    <w:rsid w:val="00027272"/>
    <w:rsid w:val="00030511"/>
    <w:rsid w:val="000731C0"/>
    <w:rsid w:val="000749DD"/>
    <w:rsid w:val="00081A89"/>
    <w:rsid w:val="00082BC6"/>
    <w:rsid w:val="00083307"/>
    <w:rsid w:val="00091CCA"/>
    <w:rsid w:val="00093D6E"/>
    <w:rsid w:val="000B3C70"/>
    <w:rsid w:val="000C4472"/>
    <w:rsid w:val="000D1782"/>
    <w:rsid w:val="000F5300"/>
    <w:rsid w:val="00101B7B"/>
    <w:rsid w:val="00104592"/>
    <w:rsid w:val="001202C1"/>
    <w:rsid w:val="001204C4"/>
    <w:rsid w:val="0012086D"/>
    <w:rsid w:val="00123779"/>
    <w:rsid w:val="00123AE8"/>
    <w:rsid w:val="00142B51"/>
    <w:rsid w:val="00157562"/>
    <w:rsid w:val="0016211E"/>
    <w:rsid w:val="00174678"/>
    <w:rsid w:val="001779B5"/>
    <w:rsid w:val="00177A92"/>
    <w:rsid w:val="00177E65"/>
    <w:rsid w:val="00184DC0"/>
    <w:rsid w:val="00187D86"/>
    <w:rsid w:val="00192539"/>
    <w:rsid w:val="00194CE6"/>
    <w:rsid w:val="00196FC3"/>
    <w:rsid w:val="001A17E2"/>
    <w:rsid w:val="001B0792"/>
    <w:rsid w:val="001B1EFA"/>
    <w:rsid w:val="001C1087"/>
    <w:rsid w:val="001C44CD"/>
    <w:rsid w:val="001C656C"/>
    <w:rsid w:val="001D64D9"/>
    <w:rsid w:val="001E2662"/>
    <w:rsid w:val="001E504E"/>
    <w:rsid w:val="001E6122"/>
    <w:rsid w:val="001F1EFE"/>
    <w:rsid w:val="00205C8C"/>
    <w:rsid w:val="002063D2"/>
    <w:rsid w:val="00206E24"/>
    <w:rsid w:val="0021518E"/>
    <w:rsid w:val="00225BF4"/>
    <w:rsid w:val="00226F1D"/>
    <w:rsid w:val="00227B68"/>
    <w:rsid w:val="0023384D"/>
    <w:rsid w:val="00243202"/>
    <w:rsid w:val="0024574F"/>
    <w:rsid w:val="00260C36"/>
    <w:rsid w:val="00264023"/>
    <w:rsid w:val="00265A70"/>
    <w:rsid w:val="00270603"/>
    <w:rsid w:val="00277500"/>
    <w:rsid w:val="00277A5B"/>
    <w:rsid w:val="002801EA"/>
    <w:rsid w:val="00282FC7"/>
    <w:rsid w:val="00285BCD"/>
    <w:rsid w:val="0029539A"/>
    <w:rsid w:val="002A12DC"/>
    <w:rsid w:val="002B6CB4"/>
    <w:rsid w:val="002B7932"/>
    <w:rsid w:val="002C2D6E"/>
    <w:rsid w:val="002C31B1"/>
    <w:rsid w:val="002C7EF6"/>
    <w:rsid w:val="002D308A"/>
    <w:rsid w:val="002E1B62"/>
    <w:rsid w:val="002F0039"/>
    <w:rsid w:val="003004AC"/>
    <w:rsid w:val="003074AC"/>
    <w:rsid w:val="00314C70"/>
    <w:rsid w:val="00323A50"/>
    <w:rsid w:val="00342139"/>
    <w:rsid w:val="003519EF"/>
    <w:rsid w:val="00361471"/>
    <w:rsid w:val="00364429"/>
    <w:rsid w:val="00364C7C"/>
    <w:rsid w:val="00366D21"/>
    <w:rsid w:val="00370C6C"/>
    <w:rsid w:val="00371EA8"/>
    <w:rsid w:val="00371FE5"/>
    <w:rsid w:val="003802F1"/>
    <w:rsid w:val="0038085A"/>
    <w:rsid w:val="00380FB8"/>
    <w:rsid w:val="003925F9"/>
    <w:rsid w:val="003951E0"/>
    <w:rsid w:val="00396D70"/>
    <w:rsid w:val="00397C94"/>
    <w:rsid w:val="00397CAE"/>
    <w:rsid w:val="003A2601"/>
    <w:rsid w:val="003A69D0"/>
    <w:rsid w:val="003B147D"/>
    <w:rsid w:val="003B2844"/>
    <w:rsid w:val="003B40C3"/>
    <w:rsid w:val="003E11FA"/>
    <w:rsid w:val="003E3698"/>
    <w:rsid w:val="003E51D7"/>
    <w:rsid w:val="00404C34"/>
    <w:rsid w:val="00410336"/>
    <w:rsid w:val="00417504"/>
    <w:rsid w:val="00431C95"/>
    <w:rsid w:val="00435D9D"/>
    <w:rsid w:val="00441CFC"/>
    <w:rsid w:val="004466EF"/>
    <w:rsid w:val="00475494"/>
    <w:rsid w:val="0048452B"/>
    <w:rsid w:val="00491450"/>
    <w:rsid w:val="0049159F"/>
    <w:rsid w:val="004A05D4"/>
    <w:rsid w:val="004A2169"/>
    <w:rsid w:val="004A2796"/>
    <w:rsid w:val="004B073A"/>
    <w:rsid w:val="004B27F0"/>
    <w:rsid w:val="004B5BF0"/>
    <w:rsid w:val="004B7F01"/>
    <w:rsid w:val="004C46C0"/>
    <w:rsid w:val="004C6169"/>
    <w:rsid w:val="004C7A3A"/>
    <w:rsid w:val="004D3951"/>
    <w:rsid w:val="004E27EF"/>
    <w:rsid w:val="004F7559"/>
    <w:rsid w:val="00500CF7"/>
    <w:rsid w:val="005011E1"/>
    <w:rsid w:val="005107B8"/>
    <w:rsid w:val="00513782"/>
    <w:rsid w:val="00517794"/>
    <w:rsid w:val="00524AAA"/>
    <w:rsid w:val="00524C33"/>
    <w:rsid w:val="005314C7"/>
    <w:rsid w:val="00534654"/>
    <w:rsid w:val="0055232A"/>
    <w:rsid w:val="005547BA"/>
    <w:rsid w:val="005572DA"/>
    <w:rsid w:val="005648BE"/>
    <w:rsid w:val="0056559E"/>
    <w:rsid w:val="00573D6F"/>
    <w:rsid w:val="00575E35"/>
    <w:rsid w:val="00577033"/>
    <w:rsid w:val="0058092E"/>
    <w:rsid w:val="00584331"/>
    <w:rsid w:val="0059081C"/>
    <w:rsid w:val="005A32F0"/>
    <w:rsid w:val="005A3D26"/>
    <w:rsid w:val="005A4B8F"/>
    <w:rsid w:val="005C400D"/>
    <w:rsid w:val="005D01F8"/>
    <w:rsid w:val="005D3CE3"/>
    <w:rsid w:val="005D4AAE"/>
    <w:rsid w:val="006012D9"/>
    <w:rsid w:val="006038B0"/>
    <w:rsid w:val="00615980"/>
    <w:rsid w:val="00622FCD"/>
    <w:rsid w:val="00630773"/>
    <w:rsid w:val="0063138C"/>
    <w:rsid w:val="006341E6"/>
    <w:rsid w:val="00634C30"/>
    <w:rsid w:val="00640C11"/>
    <w:rsid w:val="006429D2"/>
    <w:rsid w:val="0066348B"/>
    <w:rsid w:val="00663C2D"/>
    <w:rsid w:val="00670522"/>
    <w:rsid w:val="00670C62"/>
    <w:rsid w:val="00676F71"/>
    <w:rsid w:val="006B6B2C"/>
    <w:rsid w:val="006C1263"/>
    <w:rsid w:val="006C3FDE"/>
    <w:rsid w:val="006D0137"/>
    <w:rsid w:val="006D706E"/>
    <w:rsid w:val="006E0C72"/>
    <w:rsid w:val="006E25D4"/>
    <w:rsid w:val="006E3734"/>
    <w:rsid w:val="006E47E2"/>
    <w:rsid w:val="006E592C"/>
    <w:rsid w:val="006E745A"/>
    <w:rsid w:val="006E74E3"/>
    <w:rsid w:val="006F1F2B"/>
    <w:rsid w:val="007120FE"/>
    <w:rsid w:val="007158E0"/>
    <w:rsid w:val="00731328"/>
    <w:rsid w:val="0073238C"/>
    <w:rsid w:val="00734B10"/>
    <w:rsid w:val="00740AED"/>
    <w:rsid w:val="00743487"/>
    <w:rsid w:val="00745B06"/>
    <w:rsid w:val="00750315"/>
    <w:rsid w:val="00772575"/>
    <w:rsid w:val="00773C5D"/>
    <w:rsid w:val="00783F2F"/>
    <w:rsid w:val="00786545"/>
    <w:rsid w:val="00795659"/>
    <w:rsid w:val="007957BB"/>
    <w:rsid w:val="007A1EE2"/>
    <w:rsid w:val="007A4096"/>
    <w:rsid w:val="007A6FBA"/>
    <w:rsid w:val="007B1859"/>
    <w:rsid w:val="007C157A"/>
    <w:rsid w:val="007C6C0D"/>
    <w:rsid w:val="007D4E1C"/>
    <w:rsid w:val="007E744F"/>
    <w:rsid w:val="007F6E74"/>
    <w:rsid w:val="007F7504"/>
    <w:rsid w:val="00800EC6"/>
    <w:rsid w:val="0080494B"/>
    <w:rsid w:val="008178A0"/>
    <w:rsid w:val="008208B5"/>
    <w:rsid w:val="0082533D"/>
    <w:rsid w:val="008272D2"/>
    <w:rsid w:val="00827422"/>
    <w:rsid w:val="00831173"/>
    <w:rsid w:val="00832195"/>
    <w:rsid w:val="008377DD"/>
    <w:rsid w:val="0084385C"/>
    <w:rsid w:val="0085283F"/>
    <w:rsid w:val="00856443"/>
    <w:rsid w:val="008632CC"/>
    <w:rsid w:val="00866C47"/>
    <w:rsid w:val="008722C0"/>
    <w:rsid w:val="0087381D"/>
    <w:rsid w:val="0087467E"/>
    <w:rsid w:val="008749B0"/>
    <w:rsid w:val="00882B10"/>
    <w:rsid w:val="00885B92"/>
    <w:rsid w:val="00897F1E"/>
    <w:rsid w:val="008C0253"/>
    <w:rsid w:val="008C613D"/>
    <w:rsid w:val="008D069F"/>
    <w:rsid w:val="008D2D88"/>
    <w:rsid w:val="008E4D01"/>
    <w:rsid w:val="008E7170"/>
    <w:rsid w:val="00900EAE"/>
    <w:rsid w:val="00913151"/>
    <w:rsid w:val="00917A83"/>
    <w:rsid w:val="00931D92"/>
    <w:rsid w:val="00934A81"/>
    <w:rsid w:val="00950A42"/>
    <w:rsid w:val="00953E25"/>
    <w:rsid w:val="00974690"/>
    <w:rsid w:val="00980F40"/>
    <w:rsid w:val="0098426D"/>
    <w:rsid w:val="00987CB4"/>
    <w:rsid w:val="009A7B37"/>
    <w:rsid w:val="009B6774"/>
    <w:rsid w:val="009C1B76"/>
    <w:rsid w:val="009D2353"/>
    <w:rsid w:val="009D3D79"/>
    <w:rsid w:val="009E23F8"/>
    <w:rsid w:val="00A00908"/>
    <w:rsid w:val="00A11F84"/>
    <w:rsid w:val="00A12590"/>
    <w:rsid w:val="00A261B9"/>
    <w:rsid w:val="00A323F7"/>
    <w:rsid w:val="00A32D60"/>
    <w:rsid w:val="00A35C46"/>
    <w:rsid w:val="00A3665F"/>
    <w:rsid w:val="00A417BD"/>
    <w:rsid w:val="00A46C45"/>
    <w:rsid w:val="00A47C64"/>
    <w:rsid w:val="00A50C05"/>
    <w:rsid w:val="00A524F4"/>
    <w:rsid w:val="00A527E9"/>
    <w:rsid w:val="00A575C6"/>
    <w:rsid w:val="00A6759A"/>
    <w:rsid w:val="00A71B17"/>
    <w:rsid w:val="00A72FB1"/>
    <w:rsid w:val="00A74666"/>
    <w:rsid w:val="00A74890"/>
    <w:rsid w:val="00A75A4F"/>
    <w:rsid w:val="00A82AA1"/>
    <w:rsid w:val="00A83409"/>
    <w:rsid w:val="00A93C41"/>
    <w:rsid w:val="00A94450"/>
    <w:rsid w:val="00AA14D2"/>
    <w:rsid w:val="00AA1715"/>
    <w:rsid w:val="00AA1BB6"/>
    <w:rsid w:val="00AA4EE3"/>
    <w:rsid w:val="00AA741D"/>
    <w:rsid w:val="00AB34F1"/>
    <w:rsid w:val="00AB5824"/>
    <w:rsid w:val="00AC502F"/>
    <w:rsid w:val="00AC5EDD"/>
    <w:rsid w:val="00AD0683"/>
    <w:rsid w:val="00AD13FE"/>
    <w:rsid w:val="00AF2346"/>
    <w:rsid w:val="00B0233F"/>
    <w:rsid w:val="00B11669"/>
    <w:rsid w:val="00B328AD"/>
    <w:rsid w:val="00B36853"/>
    <w:rsid w:val="00B36BF2"/>
    <w:rsid w:val="00B5161A"/>
    <w:rsid w:val="00B57EF9"/>
    <w:rsid w:val="00B62AE3"/>
    <w:rsid w:val="00B662A0"/>
    <w:rsid w:val="00B67CB2"/>
    <w:rsid w:val="00B72D09"/>
    <w:rsid w:val="00B77225"/>
    <w:rsid w:val="00B83F3E"/>
    <w:rsid w:val="00B877DF"/>
    <w:rsid w:val="00B96C1A"/>
    <w:rsid w:val="00BA3CAF"/>
    <w:rsid w:val="00BB6D32"/>
    <w:rsid w:val="00BC2A30"/>
    <w:rsid w:val="00BC3500"/>
    <w:rsid w:val="00BC5CC1"/>
    <w:rsid w:val="00BC6AD3"/>
    <w:rsid w:val="00BD360D"/>
    <w:rsid w:val="00BD5FB1"/>
    <w:rsid w:val="00BD6486"/>
    <w:rsid w:val="00BD792A"/>
    <w:rsid w:val="00BD7C04"/>
    <w:rsid w:val="00BE14BA"/>
    <w:rsid w:val="00BE452C"/>
    <w:rsid w:val="00BF214D"/>
    <w:rsid w:val="00C00B60"/>
    <w:rsid w:val="00C0779C"/>
    <w:rsid w:val="00C127D6"/>
    <w:rsid w:val="00C155BC"/>
    <w:rsid w:val="00C200D2"/>
    <w:rsid w:val="00C33134"/>
    <w:rsid w:val="00C36AFF"/>
    <w:rsid w:val="00C40E0B"/>
    <w:rsid w:val="00C414B6"/>
    <w:rsid w:val="00C449E8"/>
    <w:rsid w:val="00C50A86"/>
    <w:rsid w:val="00C65F70"/>
    <w:rsid w:val="00C71428"/>
    <w:rsid w:val="00C76C77"/>
    <w:rsid w:val="00C92F56"/>
    <w:rsid w:val="00C9327F"/>
    <w:rsid w:val="00C94A89"/>
    <w:rsid w:val="00CA0DDB"/>
    <w:rsid w:val="00CA2737"/>
    <w:rsid w:val="00CA3CC4"/>
    <w:rsid w:val="00CA3F39"/>
    <w:rsid w:val="00CB7628"/>
    <w:rsid w:val="00CC52C7"/>
    <w:rsid w:val="00CC7272"/>
    <w:rsid w:val="00CD09D2"/>
    <w:rsid w:val="00CE05DA"/>
    <w:rsid w:val="00CE351A"/>
    <w:rsid w:val="00CF27CB"/>
    <w:rsid w:val="00CF558C"/>
    <w:rsid w:val="00D03180"/>
    <w:rsid w:val="00D03513"/>
    <w:rsid w:val="00D035D9"/>
    <w:rsid w:val="00D12A0A"/>
    <w:rsid w:val="00D21135"/>
    <w:rsid w:val="00D333B1"/>
    <w:rsid w:val="00D35048"/>
    <w:rsid w:val="00D54076"/>
    <w:rsid w:val="00D54643"/>
    <w:rsid w:val="00D568FA"/>
    <w:rsid w:val="00D70377"/>
    <w:rsid w:val="00D711D5"/>
    <w:rsid w:val="00D83D48"/>
    <w:rsid w:val="00D840BF"/>
    <w:rsid w:val="00D86D0D"/>
    <w:rsid w:val="00DB5455"/>
    <w:rsid w:val="00DC4424"/>
    <w:rsid w:val="00DC5956"/>
    <w:rsid w:val="00DD72C9"/>
    <w:rsid w:val="00E03E64"/>
    <w:rsid w:val="00E24138"/>
    <w:rsid w:val="00E37EC5"/>
    <w:rsid w:val="00E4138B"/>
    <w:rsid w:val="00E4686C"/>
    <w:rsid w:val="00E51FFC"/>
    <w:rsid w:val="00E5451F"/>
    <w:rsid w:val="00E6062B"/>
    <w:rsid w:val="00E75699"/>
    <w:rsid w:val="00E765B1"/>
    <w:rsid w:val="00E83E90"/>
    <w:rsid w:val="00E9427E"/>
    <w:rsid w:val="00EA2A16"/>
    <w:rsid w:val="00EB52B7"/>
    <w:rsid w:val="00EB5F3E"/>
    <w:rsid w:val="00EC487D"/>
    <w:rsid w:val="00EC6244"/>
    <w:rsid w:val="00ED0B26"/>
    <w:rsid w:val="00ED1508"/>
    <w:rsid w:val="00ED27F1"/>
    <w:rsid w:val="00ED3F7F"/>
    <w:rsid w:val="00F038C9"/>
    <w:rsid w:val="00F05356"/>
    <w:rsid w:val="00F106B7"/>
    <w:rsid w:val="00F273C7"/>
    <w:rsid w:val="00F426E8"/>
    <w:rsid w:val="00F44F71"/>
    <w:rsid w:val="00F631CC"/>
    <w:rsid w:val="00F74CFC"/>
    <w:rsid w:val="00F74DBF"/>
    <w:rsid w:val="00F75A48"/>
    <w:rsid w:val="00F8377C"/>
    <w:rsid w:val="00F868E1"/>
    <w:rsid w:val="00F91FA1"/>
    <w:rsid w:val="00F966C6"/>
    <w:rsid w:val="00F9718B"/>
    <w:rsid w:val="00FA6419"/>
    <w:rsid w:val="00FB064A"/>
    <w:rsid w:val="00FC5132"/>
    <w:rsid w:val="00FC5764"/>
    <w:rsid w:val="00FD283F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2C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B6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5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564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9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94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97C94"/>
  </w:style>
  <w:style w:type="paragraph" w:styleId="NormalWeb">
    <w:name w:val="Normal (Web)"/>
    <w:basedOn w:val="Normal"/>
    <w:uiPriority w:val="99"/>
    <w:unhideWhenUsed/>
    <w:rsid w:val="00D3504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styleId="ColorfulGrid">
    <w:name w:val="Colorful Grid"/>
    <w:basedOn w:val="TableNormal"/>
    <w:uiPriority w:val="29"/>
    <w:qFormat/>
    <w:rsid w:val="001B079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1"/>
    <w:rsid w:val="001B07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3"/>
    <w:rsid w:val="001B07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33"/>
    <w:qFormat/>
    <w:rsid w:val="001B079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59"/>
    <w:rsid w:val="0079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">
    <w:name w:val="Colorful List"/>
    <w:basedOn w:val="TableNormal"/>
    <w:uiPriority w:val="34"/>
    <w:qFormat/>
    <w:rsid w:val="007957B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">
    <w:name w:val="Medium List 1"/>
    <w:basedOn w:val="TableNormal"/>
    <w:uiPriority w:val="60"/>
    <w:rsid w:val="007957B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6">
    <w:name w:val="Medium List 1 Accent 6"/>
    <w:basedOn w:val="TableNormal"/>
    <w:uiPriority w:val="19"/>
    <w:qFormat/>
    <w:rsid w:val="007957B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21"/>
    <w:qFormat/>
    <w:rsid w:val="007957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7957B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8"/>
    <w:rsid w:val="005C400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7"/>
    <w:rsid w:val="005C400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-Accent3">
    <w:name w:val="Colorful List Accent 3"/>
    <w:basedOn w:val="TableNormal"/>
    <w:uiPriority w:val="67"/>
    <w:rsid w:val="003E369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67"/>
    <w:rsid w:val="003E369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67"/>
    <w:rsid w:val="003E369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E25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umbered-paragraph">
    <w:name w:val="numbered-paragraph"/>
    <w:basedOn w:val="Normal"/>
    <w:rsid w:val="00BD792A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it-auth2">
    <w:name w:val="cit-auth2"/>
    <w:basedOn w:val="DefaultParagraphFont"/>
    <w:rsid w:val="00AC5EDD"/>
  </w:style>
  <w:style w:type="character" w:customStyle="1" w:styleId="cit-name-surname">
    <w:name w:val="cit-name-surname"/>
    <w:basedOn w:val="DefaultParagraphFont"/>
    <w:rsid w:val="00AC5EDD"/>
  </w:style>
  <w:style w:type="paragraph" w:customStyle="1" w:styleId="Default">
    <w:name w:val="Default"/>
    <w:rsid w:val="009B6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83D48"/>
    <w:rPr>
      <w:strike w:val="0"/>
      <w:dstrike w:val="0"/>
      <w:color w:val="0066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83D48"/>
    <w:rPr>
      <w:i/>
      <w:iCs/>
    </w:rPr>
  </w:style>
  <w:style w:type="character" w:styleId="Strong">
    <w:name w:val="Strong"/>
    <w:basedOn w:val="DefaultParagraphFont"/>
    <w:uiPriority w:val="22"/>
    <w:qFormat/>
    <w:rsid w:val="00D83D48"/>
    <w:rPr>
      <w:b/>
      <w:bCs/>
    </w:rPr>
  </w:style>
  <w:style w:type="character" w:customStyle="1" w:styleId="b">
    <w:name w:val="b"/>
    <w:basedOn w:val="DefaultParagraphFont"/>
    <w:rsid w:val="005A4B8F"/>
  </w:style>
  <w:style w:type="character" w:customStyle="1" w:styleId="i">
    <w:name w:val="i"/>
    <w:basedOn w:val="DefaultParagraphFont"/>
    <w:rsid w:val="00AD13FE"/>
  </w:style>
  <w:style w:type="character" w:customStyle="1" w:styleId="xref-sep">
    <w:name w:val="xref-sep"/>
    <w:basedOn w:val="DefaultParagraphFont"/>
    <w:rsid w:val="00BE14BA"/>
  </w:style>
  <w:style w:type="paragraph" w:styleId="FootnoteText">
    <w:name w:val="footnote text"/>
    <w:basedOn w:val="Normal"/>
    <w:link w:val="FootnoteTextChar"/>
    <w:uiPriority w:val="99"/>
    <w:unhideWhenUsed/>
    <w:rsid w:val="00C40E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0E0B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40E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0E0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9081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081C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590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2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7973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846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1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47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9450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397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5959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3548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936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83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265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6550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4398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904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186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60B3AE-AB5D-A249-9879-74F75BCA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7029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keith@siau.org</cp:lastModifiedBy>
  <cp:revision>2</cp:revision>
  <cp:lastPrinted>2016-07-16T17:24:00Z</cp:lastPrinted>
  <dcterms:created xsi:type="dcterms:W3CDTF">2017-04-05T17:45:00Z</dcterms:created>
  <dcterms:modified xsi:type="dcterms:W3CDTF">2017-04-05T17:45:00Z</dcterms:modified>
</cp:coreProperties>
</file>